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№1566/12.06.2024 по търг. д. №1146/2023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1566София, 12.06.2024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първи февруари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1146/2023г.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„БНП Париба Пърсънъл Файненс“ С.А., Франция чрез „БНП Париба Пърсънъл Файненс“ С.А., клон България срещу решение № 162 от 13.04.2023 г. по в. гр. д. № 572/2022 г. на Кюстендилски окръжен съд, потвърждаващо решение № 578 от 02.08.2022 г. по гр. д. № 2167/2021 г. на Кюстендилски районен съд, с което са отхвърлени предявените срещу Б. Л. Р. от [населено място] искове с правно основание чл. 422, ал. 1 ГПК за признаване за установено, че ответницата дължи на банката следните суми, произтичащи от договор за потребителски паричен кредит, отпускане на револвиращ потребителски кредит, издаване и ползване на кредитна карта № PLUS-14523487 от 15.02.2017 г., за които е издадена заповед за изпълнение на парично задължение по ч. гр. д. № 1285/2021г. на Кюстендилски районен съд: 6738.95 лв. – главница и 178.47 лв. – мораторна лихва за периода от 20.06.2020г.-16.06.2021г., както и законна лихва за забава от датата на завеждане на заявлението по чл. 410 от ГПК – 24.06.2021 г. – до окончателното изплащане на сумите.</w:t>
        <w:tab/>
        <w:br/>
        <w:tab/>
        <w:t xml:space="preserve"/>
        <w:tab/>
        <w:br/>
        <w:tab/>
        <w:t xml:space="preserve">В касационната жалба се поддържа неправилност на въззивното решение поради противоречие със закона. Изразено е несъгласие с извода за недействителност на процесния договор за кредит на основание чл. 22 от Закона за потребителския кредит с твърдения за допуснато нарушение на Директива 2008/48/ЕО на Европейския парламент и на Съвета от 23.04.2008 г. и на чл. 11, ал. 1, т. 10 от ЗПК. Според касатора, както националният закон, така и Директивата не поставят като изискване към съдържанието на договора посочване на начина на формиране на годишния процент на разходите и какви са неговите компоненти, доколкото те са нормативно определени в чл. 19, ал. 1 ЗПК, респ. в Приложение 1 към ЗПК.</w:t>
        <w:tab/>
        <w:br/>
        <w:tab/>
        <w:t xml:space="preserve"/>
        <w:tab/>
        <w:br/>
        <w:tab/>
        <w:t xml:space="preserve">Като обосноваващи допускане на касационното обжалване в изложението по чл. 284, ал. 3, т. 1 ГПК са поставени въпросите: „ 1. Липсата на посочване в договор за потребителски кредит на компонентите, от които е формиран ГПР и начинът му на формиране от такова естество ли е, че да попречи на потребителя да прецени обхвата на своето задължение и съответно да обоснове недействителност на кредитното правоотношение по смисъла на чл. 22 ЗПК; 2. Трябва ли договорът за потребителски кредит да съдържа посочване на начина, по който е формиран ГПР, за да отговаря същият на императивното изискване по чл. 11, ал. 1, т. 10 ЗПК”.</w:t>
        <w:tab/>
        <w:br/>
        <w:tab/>
        <w:t xml:space="preserve"/>
        <w:tab/>
        <w:br/>
        <w:tab/>
        <w:t xml:space="preserve"> По отношение на първия въпрос се поддържа основанието по чл. 280, ал. 1, т. 2, предл. 2 ГПК с позоваване на практиката на СЕС - решение по дело С-42/15, т. 55 и т. 56, а по отношение на втория въпрос – основанието по чл. 280, ал. 1, т. 3 ГПК, аргументирано с наличието на противоречива практика на съдилищата.</w:t>
        <w:tab/>
        <w:br/>
        <w:tab/>
        <w:t xml:space="preserve"/>
        <w:tab/>
        <w:br/>
        <w:tab/>
        <w:t xml:space="preserve"> Ответницата по касация – Б. Л. Р. от [населено място] – не заявява становище по допускане на касационното обжалване.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едномесечен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решение Кюстендилски окръжен съд е приел за установено, че: На 15.02.2017 г. между страните е сключен договор за потребителски паричен кредит, отпускане на револвиращ потребителски кредит, издаване и ползване на кредитна карта № PLUS-14523487, с който на ответницата е предоставена сумата 12 000 лв. при уговорена такса „ангажимент“ в размер на 420 лв.; Общата стойност на плащанията е 17 756.64 лв., платима на 76 бр. погасителни вноски, при лихвен процент 13.82 % и годишен процент на разходите 16.30 %; Кредитът е усвоен от ответницата на 16.02.2017 г.; Поради просрочие на две погасителни вноски е обявена предсрочна изискуемост на същия и по заявление на банката е издадена заповед за изпълнение по чл. 410 ГПК; След подаване на заявлението и след образуване на исковото производство по чл. 422 ГПК са извършени допълнителни плащания по кредита, като към датата на изготвяне на заключението на счетоводната експертиза е установено плащане на обща сума 12 447.44 лв.</w:t>
        <w:tab/>
        <w:br/>
        <w:tab/>
        <w:t xml:space="preserve"/>
        <w:tab/>
        <w:br/>
        <w:tab/>
        <w:t xml:space="preserve">Въззивният съд е споделил извода на първата инстанция, че е нарушена нормата на чл. 11, ал. 1, т. 10 ЗПК, възпроизвеждаща текста на чл. 10(2) на Директива 2008/48 /ЕО, поради некоректност на посочените данни. Приел е, че не е ясно как е формиран на годишна база уговореният краен размер на ГПР от 16.30 %, като не е посочено и дали в него са включени разходите за застрахователната премия и такса „ангажимент“. С оглед на това, е счел, че процесният договор за кредит е недействителен на основание чл. 22 ЗПК.</w:t>
        <w:tab/>
        <w:br/>
        <w:tab/>
        <w:t xml:space="preserve"/>
        <w:tab/>
        <w:br/>
        <w:tab/>
        <w:t xml:space="preserve">За разлика от първостепенния съд, решаващият въззивен състав е приел, че разпоредбата на чл. 23 ЗПК е приложима и в производството по чл. 422 ГПК, а не само при предявен осъдителен иск, тъй като ЗПК е специален закон по отношение на ЗЗД и в разпоредбата на чл. 23 от него изрично е предвидено задължението на потребителя за връщане на чистата сума по кредита. Поради обстоятелстото обаче, че в случая платената от кредитополучателката сума 12 447.44 лв. надхвърля чистата стойност на кредита 12 000 лв. (при съобразяване на платените суми след депозиране на заявлението по чл. 410 ГПК и в хода на исковото производство съгласно чл. 235, ал. 3 ГПК), е формирал извод за неоснователност на претенциите изцяло.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Поставените от касатора въпроси са релевантни за изхода на конкретното дело, т. е. осъществена е общата предпоставка на чл. 280, ал. 1 ГПК. Не е налице обаче поддържаното за всеки от тях основание.</w:t>
        <w:tab/>
        <w:br/>
        <w:tab/>
        <w:t xml:space="preserve"/>
        <w:tab/>
        <w:br/>
        <w:tab/>
        <w:t xml:space="preserve">Не може да се счете, че въззивното решение противоречи на практиката на СЕС. Първият въпрос не само, че не е разрешен в противоречие, а е изцяло в съответствие с практиката на СЕС, в т. ч. и с цитираното от касатора решение по дело С-42/15 на СЕС, съгласно която: Член 4 от Директива 87/102/ЕИО на Съвета от 22 декември 1986 година изисква кредитополучателят да разполага с всички данни, които могат да имат отражение върху обхвата на задължението му (решение по дело С-348/14, т. 57); Съществено значение има изискването в договора за кредит да се посочат данни като например годишният процент на разходите, броят и периодичността на погасителните вноски, както и евентуално задължението за плащане на нотариални такси, изискваните обезпечения и застраховки; Понятието „общи разходи по кредита на потребителя“ обхваща всякакви видове разходи, които потребителят следва да заплати във връзка с договора за кредит и които са известни на кредитора, съответно разходите за допълнителни услуги, свързани с договора за кредит, също се включват в тези разходи (решение по дело С-686/19 СЕС); Понятието „общи разходи по кредита на потребителя“ се отнася едновременно до разходите, свързани с получаване на кредита, и разходите, свързани с неговото използване във времето.</w:t>
        <w:tab/>
        <w:br/>
        <w:tab/>
        <w:t xml:space="preserve"/>
        <w:tab/>
        <w:br/>
        <w:tab/>
        <w:t xml:space="preserve">По отношение на втория въпрос поддържаното основание по чл. 280, ал. 1, т. 3 ГПК е недоказано. Касаторът е обосновал същото с твърдението за противоречие в съдебната практика, като се е позовал на решения на окръжни съдилища. Доколкото обаче тези решения не са представени и при липсата на задължение на касационната инстанция за служебното им издирване, посоченото основание не може да се счете за осъществено.</w:t>
        <w:tab/>
        <w:br/>
        <w:tab/>
        <w:t xml:space="preserve"/>
        <w:tab/>
        <w:br/>
        <w:tab/>
        <w:t xml:space="preserve">Поради изложените съображения касационното обжалване не следва да бъде допуснато.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162 от 13.04.2023 г. по в. гр. д. № 572/2022 г. на Кюстендилски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