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№787/21.06.2011 по гр. д. №111/2011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787</w:t>
        <w:tab/>
        <w:br/>
        <w:tab/>
        <w:t xml:space="preserve"> </w:t>
        <w:tab/>
        <w:br/>
        <w:tab/>
        <w:t xml:space="preserve">С., 21.06.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17 юни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111/2011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А. С. против въззивно решение № 183 от 14.10.2010 год. по гр. дело № 370/2010 год. на Великотърновски апелативен съд, с което е отменено решение № 61 от 04.05.2010 год. по гр. дело № 118/2009 г. на Плевенски окръжен съд в частта, с която са уважени исковете на жалбоподателката с правно основание чл. 26, ал. 2 ЗЗД във вр. с чл. 17, ал. 1 ЗЗД за обявяване недействителността на договор за продажба на учредено право на строеж по нотариален акт № 186, том ІІ, д. № 386/97 год. на нотариус при Плевенски районен съд като привиден, прикриващ действителен договор в полза на трето лице и исковете са отхвърлени, решението е обезсилено в частта по иска с правно основание чл. 97, ал. 1 ГПК отм., с който жалбоподателката е призната за изключителен собственик на 1/2 идеална част от апартамент № 9 с площ 67, 98 кв. м на пети етаж, заедно с мазе № 9 и на 1/2 идеална част от апартамент № 7 с площ 67, 98 кв. м, заедно с мазе № 7 и на 1/2 идеална част от гараж № 1 - всички находящи се в жилищна сграда на [улица], [населено място] и иска е оставен без разглеждане, като недопустим, а производството по делото е прекратено.</w:t>
        <w:tab/>
        <w:br/>
        <w:tab/>
        <w:t xml:space="preserve"> </w:t>
        <w:tab/>
        <w:br/>
        <w:tab/>
        <w:t xml:space="preserve"> В изложение за допускане на касационно обжалване жалбоподателката поставя материалноправния въпрос - за съотношението между симулацията относно предмета на сделката и персоналната симулация с твърдение, че е от значение за точното прилагане на закона и за развитие на правото - приложно поле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Ответникът Д. В. Б. в писмен отговор на касационната жалба прави искане да не се допуска касационно обжалване, а при допускане жалбата да се отхвърли.</w:t>
        <w:tab/>
        <w:br/>
        <w:tab/>
        <w:t xml:space="preserve"> </w:t>
        <w:tab/>
        <w:br/>
        <w:tab/>
        <w:t xml:space="preserve">Ответниците А. Н. С., Ц. В. С., едноличен търговец „С.-М. П.” и Б. Д. Б. не са представили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иск по чл. 26, ал. 2 ЗЗД и иск по чл. 17, ал. 1 ЗЗД, както и че обжалваемият интерес не е под 1000 лв.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С обжалваното решение исковете на жалбоподателката за обявяване на договор да продажба на право строеж за построяването на два апартамента и на гараж като привиден, прикриващ действителен договор в полза на трето лице са отхвърлени като е прието, че не може да има относителната симулация, когато страните по привидната и прикритата сделка са различни. Прието е, че не е установена и фигурата на подставено лице, за което липсват твърдения в исковата молба и такова лице не може да бъде едноличният търговец-продавач по оспорения договор.</w:t>
        <w:tab/>
        <w:br/>
        <w:tab/>
        <w:t xml:space="preserve"> </w:t>
        <w:tab/>
        <w:br/>
        <w:tab/>
        <w:t xml:space="preserve">Материалноправният въпрос за съотношението между привидна сделка и прикрито съглашение, когато страните по привидната сделка и страните по прикритото съглашение са различни е от значение за изхода на делото. Това налага да се допусне касационно обжалване на решението в частта, с която исковете по чл. 26, ал. 2 ЗЗД и чл. 17, ал. 1 ЗЗД са отхвърлени в хипотезата на чл. 280, ал. 1, т. 3 ГПК - въпрос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на решение № 183 от 14.10.2010 год. по гр. дело № 370/2010 год. на Великотърновски апелативен съд в частта, с която са отхвърлени исковете по чл. 26, ал. 2 ЗЗД и чл. 17, ал. 1 ЗЗД.</w:t>
        <w:tab/>
        <w:br/>
        <w:tab/>
        <w:t xml:space="preserve"> </w:t>
        <w:tab/>
        <w:br/>
        <w:tab/>
        <w:t xml:space="preserve">УКАЗВА на В. А. С. в едноседмичен срок от връчване на препис от определението да внесе по сметка на Върховния касационен съд държавна такса за касационно обжалване в размера на 187 лв. и да представи вносен документ по делото.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трето г. о. за насрочване.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