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№285/09.10.2020 по гр. д. №664/2019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285</w:t>
        <w:tab/>
        <w:br/>
        <w:tab/>
        <w:t xml:space="preserve"> </w:t>
        <w:tab/>
        <w:br/>
        <w:tab/>
        <w:t xml:space="preserve">гр.София, 09.10.2020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двадесет и девети септември две хиляди и двадесета година в състав:ПРЕДСЕДАТЕЛ: Е. Т</w:t>
        <w:tab/>
        <w:br/>
        <w:tab/>
        <w:t xml:space="preserve"> </w:t>
        <w:tab/>
        <w:br/>
        <w:tab/>
        <w:t xml:space="preserve">ЧЛЕНОВЕ: Д. ДГ. Н</w:t>
        <w:tab/>
        <w:br/>
        <w:tab/>
        <w:t xml:space="preserve"> </w:t>
        <w:tab/>
        <w:br/>
        <w:tab/>
        <w:t xml:space="preserve">като изслуша докладваното от съдия Д. Д гр. д. № 664 по описа за 2019 г. приема следното:</w:t>
        <w:tab/>
        <w:br/>
        <w:tab/>
        <w:t xml:space="preserve"> </w:t>
        <w:tab/>
        <w:br/>
        <w:tab/>
        <w:t xml:space="preserve">Производството по делото е спряно заради отправено до Съда на Европейския съюз преюдициално запитване, по което е постановено определение от 30 април 2020 г. по съединени дела С-818/19 и С 878/19. Налице е следователно произнасяне по преюдициалното запитване, поради което производството по делото следва да се възобнови на основание чл. 631, ал. 2 от ГПК.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делото.</w:t>
        <w:tab/>
        <w:br/>
        <w:tab/>
        <w:t xml:space="preserve"> </w:t>
        <w:tab/>
        <w:br/>
        <w:tab/>
        <w:t xml:space="preserve">Да се съобщи на касатора за дадения едноседмичен срок за внасяне на 4 053, 41/четири хиляди петдесет и три лева и четиридесет и една стотинки/ лв. държавна такса по сметката на ВКС и за представяне на вносния документ.</w:t>
        <w:tab/>
        <w:br/>
        <w:tab/>
        <w:t xml:space="preserve"> </w:t>
        <w:tab/>
        <w:br/>
        <w:tab/>
        <w:t xml:space="preserve">След изтичане на срока делото да се докладва на Председателя на отделението за насрочване или на съдията-докладчик-за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