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№1930/09.07.2024 по търг. д. №251/2024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1930</w:t>
        <w:tab/>
        <w:br/>
        <w:tab/>
        <w:t xml:space="preserve"/>
        <w:tab/>
        <w:br/>
        <w:tab/>
        <w:t xml:space="preserve">гр. София, 09.07.2024г.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десети юни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251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ищеца „Р. - М. /Р-М/“ ООД и насрещна касационна жалба на ответника „ЗТ Консулт“ ЕООД срещу въззивно решение на Софийски градски съд.</w:t>
        <w:tab/>
        <w:br/>
        <w:tab/>
        <w:t xml:space="preserve"/>
        <w:tab/>
        <w:br/>
        <w:tab/>
        <w:t xml:space="preserve">Ответникът оспорва жалбата на ищеца, последният не изразява становище по жалбата на ответника.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Първоинстанционният съд е уважил предявения по реда на чл. 422 ГПК иск по чл. 79, ал. ЗЗД, като е признал за установено, че ответникът дължи на ищеца сумата 25 000 лв. заедно със законната лихва, представляваща неплатена част от цената по договор за продажба на недвижим имот.</w:t>
        <w:tab/>
        <w:br/>
        <w:tab/>
        <w:t xml:space="preserve"/>
        <w:tab/>
        <w:br/>
        <w:tab/>
        <w:t xml:space="preserve">По жалба на ответника въззивният съд след съответна отмяна на първоинстанционното решение е отхвърлил иска частично за разликата над 3747 лв.</w:t>
        <w:tab/>
        <w:br/>
        <w:tab/>
        <w:t xml:space="preserve"/>
        <w:tab/>
        <w:br/>
        <w:tab/>
        <w:t xml:space="preserve">За да намери иска за неоснователен в отхвърлената част, съдът е подложил на тълкуване клаузата на чл. 4.3.7 от предварителния договор, съгласно която част от цената в размер на 20 000 евро купувачът се задължава да заплати в двегодишен срок от сключването на окончателния договор в нотариална форма. Тълкувайки клаузата във връзка с уговорките по впоследствие сключеното допълнително споразумение, съдът е обосновал извод, че тази сума, наред с останалите суми, посочени в допълнителното споразумение, представлява възнаграждение за довършителни работи в рамките на уговорената с предварителния договор обща цена. По-нататък съдът е приел, че с второ допълнително споразумение страните са уговорили първоначално определеният размер на цената от общо 170 000 евро да бъде намален с 44 554,51 лв., както и с дължимата от ищеца неустойка за забавено изпълнение на задължението за прехвърляне на собствеността в размер на 25 000 лв. Съпоставяйки така установения краен размер на задължението на ответника с извършените от него плащания, въззивният съд е приел, че неплатеният остатък от общата цена възлиза на 3747 лв., над който размер предявеният иск е неоснователен.</w:t>
        <w:tab/>
        <w:br/>
        <w:tab/>
        <w:t xml:space="preserve"/>
        <w:tab/>
        <w:br/>
        <w:tab/>
        <w:t xml:space="preserve">От страна на ищеца допускане на касационното обжалване се иска на основание чл. 280, ал. 2, пр. 3 ГПК. С възпроизвеждане на утвърдената в практиката на ВКС дефиниция на понятието „очевидна неправилност“ се поддържа, че в конкретния случай очевидната неправилност на въззивното решение се изразява в това, че въззивният съд от една страна приел, че претендираната сума не е част от продажната цена на имота, а от друга страна механично извадил платеното от общата цена по сделката, приемайки, че процесната сума е част от цената на имота.</w:t>
        <w:tab/>
        <w:br/>
        <w:tab/>
        <w:t xml:space="preserve"/>
        <w:tab/>
        <w:br/>
        <w:tab/>
        <w:t xml:space="preserve">Не се установява въведеното основание за допускане на касационно обжалване.</w:t>
        <w:tab/>
        <w:br/>
        <w:tab/>
        <w:t xml:space="preserve"/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разглеждания случай от мотивите на обжалваното решение, относими към обжалваната част,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Изтъкнатото от жалбоподателя не съответства на изложените от въззивния съд съображения, с които, обратно на твърдението за формиран извод, че процесната сума не е част от цената на имота, съдът е посочил въз основа на извършеното тълкуване, че същата се отнася към предвидените довършителни работи, но в рамките на уговорената обща цена по договора.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287, ал. 4 ГПК насрещната касационна жалба не подлежи на разглеждане. Независимо от представения договор за правна помощ на ответника разноски по чл. 78, ал. 3 ГПК не се следват с оглед липсата на направено искане за това.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1978/20.04.2023 г. по гр. д. № 3593/2022 г. по описа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