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№1846/03.07.2024 по търг. д. №46/2024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1846</w:t>
        <w:tab/>
        <w:br/>
        <w:tab/>
        <w:t xml:space="preserve"/>
        <w:tab/>
        <w:br/>
        <w:tab/>
        <w:t xml:space="preserve">гр. София, 03.07.2024г.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седми май през две хиляди двадесет и четвърта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46 по описа за 2024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ищеца Университет Навара - Университетска клиника Навара, Памплона, Испания, срещу въззивно решение на Благоевградски окръжен съд в частта, потвърждаваща първоинстанционното решение за отхвърляне на предявените искове за обявяване на нищожността на договори за продажба на дялове в ООД от 08.11.2017 г. и 22.02.2018 г.</w:t>
        <w:tab/>
        <w:br/>
        <w:tab/>
        <w:t xml:space="preserve"/>
        <w:tab/>
        <w:br/>
        <w:tab/>
        <w:t xml:space="preserve">Жалбата е недопустима. Всеки от оспорените договори има за предмет продажбата на 500 дружествени дяла в „БГ Еврострой и АВМ“ ЕООД срещу цена в размер на 5000 лв. Така уговорената цена определя съгласно чл. 69, ал. 1, т. 4 ГПК и цената на всеки от предявените искове в размер на по 5000 лв. Същата не надхвърля установения в чл. 280, ал. 3, т. 1 ГПК (във връзка с формираната по приложението на тази разпоредба практика на ВКС, напр. ч. т. д. № 413/2023 г., I т. о., ч. гр. д. № 336/2024 г., II г. о., и цитираното там) минимален праг за касационно обжалване в размер на 5000 лв. Поради това въззивното решение не подлежи на касационно обжалване, съответно подадената касационна жалба като недопустима следва да бъде оставена без разглеждане.</w:t>
        <w:tab/>
        <w:br/>
        <w:tab/>
        <w:t xml:space="preserve"/>
        <w:tab/>
        <w:br/>
        <w:tab/>
        <w:t xml:space="preserve">С тези мотиви съдътОПРЕДЕЛИ:Оставя без разглеждане подадената от Университет Навара - Университетска клиника Навара, Памплона, Испания, касационна жалба вх. № 11420/12.09.2023 г. срещу решение № 504/17.08.2023 г. по гр. д. № 359/2023 г. на Окръжен съд - Благоевград, и прекратява производството по т. д. № 46/2024 г. по описа на ВКС, I т. о.</w:t>
        <w:tab/>
        <w:br/>
        <w:tab/>
        <w:t xml:space="preserve"/>
        <w:tab/>
        <w:br/>
        <w:tab/>
        <w:t xml:space="preserve">Определението подлежи на обжалване пред състав на ВКС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