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№239/26.07.2019 по търг. д. №1818/2019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239</w:t>
        <w:tab/>
        <w:br/>
        <w:tab/>
        <w:t xml:space="preserve"> </w:t>
        <w:tab/>
        <w:br/>
        <w:tab/>
        <w:t xml:space="preserve"> [населено място], 26.07.2019 година </w:t>
        <w:tab/>
        <w:br/>
        <w:tab/>
        <w:t xml:space="preserve"/>
        <w:tab/>
        <w:br/>
        <w:tab/>
        <w:t xml:space="preserve"> Върховен касационен съд на Р. Б, Търговска колегия, Второ отделение, в закрито заседание на двадесет и шести юли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Б. Й т. д. № 1818/2019 г.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по делото е образувано по искова молба на А. К. А. и „Б.” Е., с която са предявени искове против „Р. консулт” Е. за отмяна на основание чл. 47, ал. 1, т. 2 ЗМТА на арбитражно решение от 08.07.2019 г., постановено по арбитражно дело № 004/2019 г. на Арбитражен съд при Европейска юридическа палата - [населено място]. С посоченото решение са осъдени А. К. А. и „Б.” Е. да заплатят солидарно на „Р. консулт” Е. сумата 16 708.53 лв., ведно със законната лихва от предявяване на иска на 01.03.2019 г. до окончателното плащане и разноски за арбитражното производство.</w:t>
        <w:tab/>
        <w:br/>
        <w:tab/>
        <w:t xml:space="preserve"> </w:t>
        <w:tab/>
        <w:br/>
        <w:tab/>
        <w:t xml:space="preserve"> Исковата молба е редовна, като е внесена дължимата държавна такса за разглеждане на предявените искове. </w:t>
        <w:tab/>
        <w:br/>
        <w:tab/>
        <w:t xml:space="preserve"> </w:t>
        <w:tab/>
        <w:br/>
        <w:tab/>
        <w:t xml:space="preserve">Арбитражното решение, чиято отмяна се иска, е постановено на 08.07.2019 г., а исковата молба е депозирана във Върховния касационен съд н 26.07.2019 г., с което е спазен преклузивния тримесечен срок по чл. 48, ал. 1 ЗМТА за предявяване на исковете. </w:t>
        <w:tab/>
        <w:br/>
        <w:tab/>
        <w:t xml:space="preserve"> </w:t>
        <w:tab/>
        <w:br/>
        <w:tab/>
        <w:t xml:space="preserve">В исковата молба ищците са направили искане за спиране на изпълнението на арбитражното решение на основание чл. 48, ал. 2 ЗМТА. С молбата е представено преводно нареждане от 24.07.2019 г., от което се установява, че на 24.07.2019 г. А. К. А. е внесъл по сметката на Върховен касационен съд за обезпечения сумата 19 143.33 лв. с посочено основание „гаранция по искане за спиране на изпълнението на решение по арбитражно дело № 004/2019 г. на АСЕЮП”. Към делото е приложена служебна справка от счетоводител при ВКС, с която е удостоверено, че към 26.07.2019 г. сумата на обезпечението е постъпила по сметката на ВКС за обезпечения. </w:t>
        <w:tab/>
        <w:br/>
        <w:tab/>
        <w:t xml:space="preserve"> </w:t>
        <w:tab/>
        <w:br/>
        <w:tab/>
        <w:t xml:space="preserve">При така изложените обстоятелства настоящият състав на ВКС приема, че са налице предпоставките на чл. 48, ал. 2 ЗМТА за спиране на изпълнението на арбитражното решение,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изпълнението на арбитражно решение от 08.07.2019 г., постановено по арбитражно дело № 004/2019 г. на Арбитражен съд при Европейска юридическа палата - [населено място]. </w:t>
        <w:tab/>
        <w:br/>
        <w:tab/>
        <w:t xml:space="preserve"> </w:t>
        <w:tab/>
        <w:br/>
        <w:tab/>
        <w:t xml:space="preserve">Да се издаде препис от определението на А. К. А. и на „Б.” Е. - ищци в производството по чл. 48 и сл. ЗМТА.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