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№478/22.12.2015 по гр. д. №4190/2015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478София, 22.12. 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четиринадесети октомври,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Първанова гр. дело № 4190/2015г.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Етажна собственост на[жк], [населено място], срещу въззивно решение от 04.05.2015г. по гр. д.№3684/2014г. на Софийския градски съд. </w:t>
        <w:tab/>
        <w:br/>
        <w:tab/>
        <w:t xml:space="preserve"> </w:t>
        <w:tab/>
        <w:br/>
        <w:tab/>
        <w:t xml:space="preserve"> В изложението по чл. 284, ал. 3, т. 1 ГПК се сочи, че са налице предпоставките на чл. 280, ал. 1, т. 1, т. 2 и т. 3 ГПК за допускане касационно обжалване на решението. Твърди се, че проверката следва да се допусне по въпросите: какво е необходима и полезна разноска по смисъла на чл. 41 ЗС; приложима ли е разпоредбата на чл. 41 ЗС при определянето и разпределянето на разноските в ЕС между съсобствениците; при разпределяне разходите за необходими и полезни разноски в ЕС нормата на чл. 41 ЗС дерогира ли ЗУЕС; трябва ли да се съобрази от съда действащ Правилник на ЕС, който посочва реда за разпределяне на разноските съобразно чл. 41 ЗС. Не се сочат и не се прилагат съдебни решения.</w:t>
        <w:tab/>
        <w:br/>
        <w:tab/>
        <w:t xml:space="preserve"> </w:t>
        <w:tab/>
        <w:br/>
        <w:tab/>
        <w:t xml:space="preserve"> Ответникът по касация счита, че не следва да се допуска касационно обжалване на въззивното решение по съображения в становище по чл. 287, ал. 1 ГПК. </w:t>
        <w:tab/>
        <w:br/>
        <w:tab/>
        <w:t xml:space="preserve"> </w:t>
        <w:tab/>
        <w:br/>
        <w:tab/>
        <w:t xml:space="preserve"> Касационната жалба е депозирана в срока по чл. 283 ГПК.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обжалваното решение е потвърдено решение по гр. д.№42819/2013г. на Софийския районен съд в обжалваната от ЕС част, с която е по иска на Х. Н. Ф. на основание чл. 41, ал. 1 ЗУЕС са отменени решения, приети на общото събрание на етажните собственици в ЕС „Е. суитс”, проведено на от 27.09.2013г., отразени в т. 13, 14, 16, 17, 18, 19, 22, 23 и 24 от съставения протокол. </w:t>
        <w:tab/>
        <w:br/>
        <w:tab/>
        <w:t xml:space="preserve"> </w:t>
        <w:tab/>
        <w:br/>
        <w:tab/>
        <w:t xml:space="preserve"> Въззивният съд е възприел фактическите изводи на първоинстанционния съд, както и правните изводи във връзка с приложението на чл. 51 ЗУЕС по отношение на приетото с атакуваните решения по т. 13, 16, 17, 18, 19 и 24 за разпределяне на разходите между етажните собственици. Решението по т. 13, касаещо разходи за охрана на ЕС е незаконосъобразно тъй като разходите касаят управлението и поддържането на общите части и трябва да се разпределят поравно, а освен това подобно решение следва да се вземе с единодушие.Разходите по т. 16 /месечна парична вноска за фонд „ремонт и обновяване”/ са „управленски” и също се разпределят по реда на чл. 51 ЗУЕС. Разходите по т. 17 са типични консумативи, изрично посочените в чл. 51 ЗУЕС вр.§1, т. 11 ДР ЗУЕС. Решенията по т. 18 и т. 19 касаят депозит и таблици за индивидуални вноски по договор с дружество за поддържане на ЕС и разпределението не поравно между етажните собственици, а по друг начин е незаконосъобразно. Незаконосъобразно е решението по т. 24 –ако етажен собственик не предостави при поискване документ си за собственост, ще се счита, че не притежава самостоятелен обект в ЕС. Решението по т. 14 за определяне на месечни вноски за фонд „ремонт и обновяване” противоречи на чл. 48, ал. 3 ЗУЕС. Решенията по т. 22 и т. 23 също са незаконосъобразни. ОС няма правомощие да задължава собственика да сключва индивидуални договори във връзка с фирма за управление на ЕС.Книгата на собствениците със съответните данни за тях трябва да се води от управителния орган на ЕС, а не от външна фирма за поддържане.</w:t>
        <w:tab/>
        <w:br/>
        <w:tab/>
        <w:t xml:space="preserve"> </w:t>
        <w:tab/>
        <w:br/>
        <w:tab/>
        <w:t xml:space="preserve"> Върховният касационен съд, състав на ІІ г. о., намира, че не следва да се допуска касационно обжалване на решението, поради липса на основанията на чл. 280, ал. 1 ГПК. Съобразно разясненията, дадени в ТР№1/2010г. по т. д.№1/2009г., ОСГТК, касаторът трябва да посочи правния въпрос от значение за изхода по конкретното дело в мотивираното изложение по чл. 284, ал. 1, т. 3 ГПК. Той следва да се изведе от предмета на спора и определя рамките, в които ВКС селектира касационната жалба с оглед допускането и до касационно разглеждане. Правният въпрос трябва да е от значение за решаващата воля на съда. Касационната инстанция няма правомощие да изведе въпросите от касационната жалба, от изложението по чл. 284, ал. 3, т. 1 ГПК или от самото обжалвано решение. Повдигнатите от касатора въпроси не могат да обосноват допускане касационно обжалване на решението.Те не отговарят на възприетите с посоченото по-горе ТР критерии, тъй като са неотносими към решаващите изводи на въззивния съд, а оттук и към изхода на делото. Решаващите изводи на въззивния съд при извършения контрол върху атакуваните решения на ОС на ЕС са за това, че разноските по описаните в протокола точки са за управление и поддържане на ЕС по смисъла на §1, т. 11 ДР ЗУЕС, а не ”полезни разходи” по смисъла на т. 12 от същия параграф. При това положение разпределянето им между етажните собственици се регламентира от императивната норма на чл. 51 ЗУЕС и ОС на ЕС не може да определи друг начин – според дела в общите части. Следва да се има предвид и практиката на ВКС изразена в решения по чл. 290 ГПК /№85/2014г. по гр. д.№1157/2014г., ІІ г. о./, по приложението на чл. 41, ал. 1 ЗС относно необходимите полезни разноски, с което обжалваното решение не влиза в противоречиие. Освен това, позовавайки се на основанието на чл. 280, ал. 1, т. 1 ГПК, касаторът трябва да посочи задължителната съдебна практика, съгласно цитираното по-горе ТР №1/2010г. Той не е сторил това. При това положение не може да се направи извод за наличие или не на противоречие по решени правни въпроси, относими към настоящия случай. С така поставените ирелевантни правни въпроси не може да се обоснове и приложението на чл. 280, ал. 1, т. 3 ГПК. С оглед изложеното следва да се приеме, че не са налице предпоставките за разглеждане на касационната жалба по същество и не следва да се допуска касационно обжалване на решението. </w:t>
        <w:tab/>
        <w:br/>
        <w:tab/>
        <w:t xml:space="preserve"> </w:t>
        <w:tab/>
        <w:br/>
        <w:tab/>
        <w:t xml:space="preserve"> Въпреки изхода на производството по чл. 288 ГПК ответникът по касация не е заявил искане за присъждане на разноски и не е приложил доказателства за направени такива, поради което не следва да се присъждат.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въззивно решение от 04.05.2015г. по гр. д.№3684/2014г. на Софийския градски съд.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