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№453/08.07.2014 по гр. д. №3412/2014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453</w:t>
        <w:tab/>
        <w:br/>
        <w:tab/>
        <w:t xml:space="preserve"> </w:t>
        <w:tab/>
        <w:br/>
        <w:tab/>
        <w:t xml:space="preserve"> София, 08.07.2014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3412 / 2014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108 от 14.03.2014 г. по гр. д.№ 538/2013 г. на Врачански окръжен съд е отхвърлен иска за делба, предявен от М. И. Б. и П. И. И. против А. И. П. и И. Т. Т. по отношение на един апартамент в [населено място] и дворно място в [населено място].</w:t>
        <w:tab/>
        <w:br/>
        <w:tab/>
        <w:t xml:space="preserve"> </w:t>
        <w:tab/>
        <w:br/>
        <w:tab/>
        <w:t xml:space="preserve"> Ищците са подали касационна жалба срещу решението на въззивния съд с оплаквания за необоснованост и нарушение на материалния и процесуалния закон във връзка с отказа на съда да уважи искането им по чл. 30 ЗН. Правните въпроси, по които искат да се допусне касационно обжалване са относно приложението на чл. 17, ал. 1 ЗЗД, допустимо ли е оспорване на документа, представен по делото като контр летр и задължението на съда да открие производство по оспорването му, както и за допустимите доказателства в това производство. Вторият въпрос е свързан с разбирането на касаторите, че внукът е наследник по закон и за да се упражни спрямо него правото по чл. 30, ал. 2 ЗН не е необходимо приемане на наследството по опис. По така формулираните въпроси се твърди противоречие с практиката на ВКС, както и основанието по чл. 280, ал. 1, т. 3 ГПК.</w:t>
        <w:tab/>
        <w:br/>
        <w:tab/>
        <w:t xml:space="preserve"> </w:t>
        <w:tab/>
        <w:br/>
        <w:tab/>
        <w:t xml:space="preserve"> Ответната страна оспорва жалбата, както и че не са налице основания за допускането й до разглеждане.</w:t>
        <w:tab/>
        <w:br/>
        <w:tab/>
        <w:t xml:space="preserve"> </w:t>
        <w:tab/>
        <w:br/>
        <w:tab/>
        <w:t xml:space="preserve"> 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 Страните са сестри и наследници на общия наследодател И. П. К., а ответникът И. Т. Т. е негов внук. Наследствените имоти са апартамент в [населено място], дворно място в [населено място] и лек автомобил, от които съдът е допуснал делба само на автомобила. За апартамента и дворното място е прието, че те приживе са прехвърлени на дъщерята А. И. и нейния син И. Т.. Прехвърлянето на А. И. е извършено с нотариален акт за дарение, но съдът е уважил възражението й, че тази сделка е привидна и нищожна, а действителната сделка е за покупко - продажба предвид представеното от страната споразумение с характер на контр летр, поради което имотът не следва да се дели. Не е допуснал свидетели за оспорване автентичността на подписа на наследодателя върху този документ, както и за доказване на факта, че указаната в него сума не му е заплатена, като е посочил, че доказателствата биха били допустими ако документът съдържаше волеизявление само на една от страните по договора - т. е. ако имаше характер на начало на писмено доказателство. </w:t>
        <w:tab/>
        <w:br/>
        <w:tab/>
        <w:t xml:space="preserve"> </w:t>
        <w:tab/>
        <w:br/>
        <w:tab/>
        <w:t xml:space="preserve"> По отношение на дворното място в [населено място] не е обсъдено признанието на иска, направено от А. И. в качеството й на законен представител на втория ответник. Прието е, при направено възражение в този смисъл, че ищците не могат да се ползват от заявеното искане за намаляване на дарението, тъй като са приели наследството по опис едва след завеждане на делото и след срока по чл. 61, ал. 1 ЗС, като в тази част въззивният съд се е позовал на т. 5 от ТР № 3/2012 г. на ОСГК на ВКС.</w:t>
        <w:tab/>
        <w:br/>
        <w:tab/>
        <w:t xml:space="preserve"> </w:t>
        <w:tab/>
        <w:br/>
        <w:tab/>
        <w:t xml:space="preserve"> С оглед на изложеното следва да се приеме, че касационното обжалване е допустимо по първия поставен правен въпрос, а именно за приложението на чл. 30 ЗН във връзка с чл. 17, ал. 2 ЗЗД и за допустимите доказателствени средства във връзка с оспорване на документа - контр летр, представен за установяване симулативността на извършеното от наследодателя дарение и разкриване на действителните отношения между страните, които са във връзка с договор за покупко-продажба, с оглед невъзможността при такъв вид разпореждане да се иска възстановяване на запазената част на останалите наследници. В тази част решението противоречи на практиката на ВКС, изразена напр. в р.№ 163 от 15.06.2011 г. по гр. д. № 1536/2009 г., IV г. о., р. № 73 от 25.03.2013 г. по гр. д. № 248/2012 г., II г. о., опр. № 1068 от 1.11.2013 г. на ВКС по гр. д. № 4205/2013 г., III г. о. и др., в които се приема, че обратното писмо трябва да е с доказана идентичност относно авторството на издателя - в случая бащата на страните. Относима е и практиката във връзка с оспорване на т. н.споразумение, което по същността си представлява частен диспозитивен документ.</w:t>
        <w:tab/>
        <w:br/>
        <w:tab/>
        <w:t xml:space="preserve"> </w:t>
        <w:tab/>
        <w:br/>
        <w:tab/>
        <w:t xml:space="preserve"> Представените две решения на състави на ВКС са неотносими към правния въпрос, по който се е произнесъл въззивният съд и който е определящ за изхода на спора, тъй като в тях не се обсъжда възможността за оспорване на писмото-контр летр и за допустимите доказателствени средства. По въпросите, че искът за разкриване на симулацията е допустим и че следва да се установят действителните отношения между страните, като се прогласи, че е действителна прикритата сделка, ако тя отговаря на изискванията за форма, между решението на въззивния съд и представената съдебна практика няма противоречие. </w:t>
        <w:tab/>
        <w:br/>
        <w:tab/>
        <w:t xml:space="preserve"> </w:t>
        <w:tab/>
        <w:br/>
        <w:tab/>
        <w:t xml:space="preserve"> По втория поставен правен въпрос няма основание за допускане на касационно обжалване. Тъй като внукът не е призован да наследява, в тази част решението е в съответствие с постановката на ТР № 1/ 2005 г. на ОСГК на ВКС, според което под термина наследници по закон по </w:t>
        <w:tab/>
        <w:br/>
        <w:tab/>
        <w:t xml:space="preserve"> </w:t>
        <w:tab/>
        <w:br/>
        <w:tab/>
        <w:t xml:space="preserve">чл. 30, ал. 2 ЗН</w:t>
        <w:tab/>
        <w:br/>
        <w:tab/>
        <w:t xml:space="preserve"> </w:t>
        <w:tab/>
        <w:br/>
        <w:tab/>
        <w:t xml:space="preserve"> трябва да се разбират наследниците, които в конкретния случай са призовани да наследяват, а не всички лица по </w:t>
        <w:tab/>
        <w:br/>
        <w:tab/>
        <w:t xml:space="preserve"> </w:t>
        <w:tab/>
        <w:br/>
        <w:tab/>
        <w:t xml:space="preserve">чл. 5 - 10 ЗН</w:t>
        <w:tab/>
        <w:br/>
        <w:tab/>
        <w:t xml:space="preserve"> </w:t>
        <w:tab/>
        <w:br/>
        <w:tab/>
        <w:t xml:space="preserve">, както и с т. 5 от ТР № 3/ 2013 г. на ОСГК на ВКС, където е посочено, че ползващите се от завещателното разпореждане или дарението лица могат в производството по възстановяване на запазена част от наследството по чл. 30 ЗН да направят възражение за неспазването на предвидения в чл. 61, ал. 1 ЗН срок за приемане на наследството по опис и по този начин да предотвратят намаляване на завещанието или дарението. </w:t>
        <w:tab/>
        <w:br/>
        <w:tab/>
        <w:t xml:space="preserve"> </w:t>
        <w:tab/>
        <w:br/>
        <w:tab/>
        <w:t xml:space="preserve"> Водим от горното и на основание чл. 288 ГПК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ДОПУСКА касационно обжалване на решение № 108 от 14.03.2014 г. по гр. д.№ 538/2013 г. на Врачански окръжен съд в частта, с която е отхвърлен иска за делба на един апартамент - ап.№ 67, ет. 2, вх.Д, ет. 3 с идентификатор 12259.1017.49.5.20, находящ се в [населено място], [улица], № 19.</w:t>
        <w:tab/>
        <w:br/>
        <w:tab/>
        <w:t xml:space="preserve"> </w:t>
        <w:tab/>
        <w:br/>
        <w:tab/>
        <w:t xml:space="preserve"> Указва на касаторите да внесат в седмодневен срок от получаване на съобщението по сметка на ВКС държавна такса от 100 лв. и да представят в същия срок вносния документ в съда, като при неизпълнение жалбата подлежи на връщане.</w:t>
        <w:tab/>
        <w:br/>
        <w:tab/>
        <w:t xml:space="preserve"> </w:t>
        <w:tab/>
        <w:br/>
        <w:tab/>
        <w:t xml:space="preserve"> Делото да се докладва след изтичане на срока.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