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№432/29.11.2012 по ч.гр.д. №485/2012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частно гражданско дело № 485 от 2012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частна жалба от [фирма] срещу постановеното по настоящето дело определение №509/20.11.2012г.,с което е отменено определение №269/17.07.2012г. на тричленен състав на ВКС,ІІІ ГО, постановено по гр. д.№1216/2012г. и делото е върнато за продължаване на съдопроизводствените действия.</w:t>
        <w:tab/>
        <w:br/>
        <w:tab/>
        <w:t xml:space="preserve"> </w:t>
        <w:tab/>
        <w:br/>
        <w:tab/>
        <w:t xml:space="preserve">Така подадената частна жалба е недопустима и следва да бъде върната, тъй като процесуалният закон не допуска възможност за обжалване на подобен съдебен акт.</w:t>
        <w:tab/>
        <w:br/>
        <w:tab/>
        <w:t xml:space="preserve"> </w:t>
        <w:tab/>
        <w:br/>
        <w:tab/>
        <w:t xml:space="preserve">Съгласно чл. 274 ГПК на обжалване подлежат само определенията, които преграждат по-нататъшното развитие на делото или за които това е изрично предвидено. Постановеното на 20.11.2012г. по настоящето дело определение не е преграждащо по смисъла на тази разпоредба, нито процесуалният закон предвижда обжалването му, доколкото същото не дава разрешение по същество на друго производство по смисъла на чл. 274, ал. 3, т. 2 ГПК.</w:t>
        <w:tab/>
        <w:br/>
        <w:tab/>
        <w:t xml:space="preserve"> </w:t>
        <w:tab/>
        <w:br/>
        <w:tab/>
        <w:t xml:space="preserve">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подадената от [фирма] частна жалба вх.№11380/26.11.2012г. срещу определение №509/20.11.2012г.,постановено по ч. гр. д.№485/2012г. по описа на ВКС,ІІ ГО.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