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№378/02.11.2011 по гр. д. №1110/2010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Право на недобросъвестния владелец на подобренията</w:t>
        <w:tab/>
        <w:br/>
        <w:tab/>
        <w:t xml:space="preserve"> </w:t>
        <w:tab/>
        <w:br/>
        <w:tab/>
        <w:t xml:space="preserve">подобрения</w:t>
        <w:tab/>
        <w:br/>
        <w:tab/>
        <w:t xml:space="preserve"> </w:t>
        <w:tab/>
        <w:br/>
        <w:tab/>
        <w:t xml:space="preserve">недобросъвестно владение</w:t>
        <w:tab/>
        <w:br/>
        <w:tab/>
        <w:t xml:space="preserve"> </w:t>
        <w:tab/>
        <w:br/>
        <w:tab/>
        <w:t xml:space="preserve">добросъвестно владение</w:t>
        <w:tab/>
        <w:br/>
        <w:tab/>
        <w:t xml:space="preserve"> </w:t>
        <w:tab/>
        <w:br/>
        <w:tab/>
        <w:t xml:space="preserve">презумпция за намерение да се държи вещта като своя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N 378</w:t>
        <w:tab/>
        <w:br/>
        <w:tab/>
        <w:t xml:space="preserve"> </w:t>
        <w:tab/>
        <w:br/>
        <w:tab/>
        <w:t xml:space="preserve">София, 02.11.2011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 в съдебно заседание на 18 октомври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Силдарева гражданско дело N 1110/2010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С определение № 429 от 05.05.2011 г. ВКС е допуснал извършването на касационна проверка на решение от 18.05.2010 г. по гр. д. № 661/2009 г. на Бургаски апелативен съд по подадената от ищцата К. касационна жалба по разрешения материалноправен въпрос относно метода на определяне стойността, с която се е увеличила стойността на недвижим имот в резултат на направени в него подобрения от недобросъвестен владелец със знанието и без противопоставянето на собственика на имота.</w:t>
        <w:tab/>
        <w:br/>
        <w:tab/>
        <w:t xml:space="preserve"> </w:t>
        <w:tab/>
        <w:br/>
        <w:tab/>
        <w:t xml:space="preserve"> Основателен е доводът за неправилно прилагане на материалния закон.</w:t>
        <w:tab/>
        <w:br/>
        <w:tab/>
        <w:t xml:space="preserve"> </w:t>
        <w:tab/>
        <w:br/>
        <w:tab/>
        <w:t xml:space="preserve"> Установено е по делото, че ответниците по иска Ж. са собственици на апартамент № 1, ет. 1, в сградата построена в УПИ І- жилищно строителство, кв. 222, по плана на [населено място] получен като обезщетение срещу отстъпено от тях право на строеж. Въз основа на устно споразумение постигнато с трето лице И. Ц., с което ищцата е живяла на съпружески начала, са предоставили владението на имота на двамата, като са постигнали и устна уговорка да продадат имота на Ц.. Дали са и съгласие имотът да бъде завършен до степен на годност за живеене. Първоначално в имота е живял Ц., а ищцата е работила в чужбина и изпращала средства за подобряването на имота, а от 2004 г. се е завърнала в България и също установила да живее в жилището. С гласни доказателства е установено, че от 2004 г. до лятото на 2005 г. ищцата и Ц. са живели в жилището и са довършвали изграждането му в завършен вид и са го обзавели.</w:t>
        <w:tab/>
        <w:br/>
        <w:tab/>
        <w:t xml:space="preserve"> </w:t>
        <w:tab/>
        <w:br/>
        <w:tab/>
        <w:t xml:space="preserve"> Видовете подобрения са установени с писмени доказателства и приети технически експертизи за строителните работи, ВиК инсталацията и обзавеждане и ел. инсталация и ел. домакински уреди.</w:t>
        <w:tab/>
        <w:br/>
        <w:tab/>
        <w:t xml:space="preserve"> </w:t>
        <w:tab/>
        <w:br/>
        <w:tab/>
        <w:t xml:space="preserve">След съвкупна преценка на тези факти съдът е приел за установено, че осъществяваното владение от ищцата лично и чрез другиго е било с намерение да придобие имота за себе си. Фактическата власт и строителните работи са осъществени и извършени със знанието и без противопоставянето на собствениците, поради което същата има качеството на приравнен на добросъвестен владелец и претенцията за заплащане на стойността, с която се е увеличила стойността на имота, е основателна. </w:t>
        <w:tab/>
        <w:br/>
        <w:tab/>
        <w:t xml:space="preserve"> </w:t>
        <w:tab/>
        <w:br/>
        <w:tab/>
        <w:t xml:space="preserve">При определяне на сумата, с която се е увеличила стойността на имота е допуснато неправилно приложение на закона.</w:t>
        <w:tab/>
        <w:br/>
        <w:tab/>
        <w:t xml:space="preserve"> </w:t>
        <w:tab/>
        <w:br/>
        <w:tab/>
        <w:t xml:space="preserve"> Съдът е допуснал изслушване на технически експертизи за определяне стойността на извършените довършителни работи в апартамента. На вещите лица, специалисти по строителство, ВиК и Ел. инсталации, е било възложено да определят стойността на видовете работа към момента на извършването им и да определят как въз основа на тях се е увеличила стойността на имота.</w:t>
        <w:tab/>
        <w:br/>
        <w:tab/>
        <w:t xml:space="preserve"> </w:t>
        <w:tab/>
        <w:br/>
        <w:tab/>
        <w:t xml:space="preserve"> По делото липсват данни за състоянието на имота и степента на завършеност, към момента на установяване владение в него от касаторката, както и пазарната стойност на имота в това му състояние. Съдът е приел, че добросъвестният подобрител има право на увеличената стойност на имота, но не е определил тази стойност като разлика между пазарната стойността на имота преди подобренията и след това, определени към деня на постановяване на решението.</w:t>
        <w:tab/>
        <w:br/>
        <w:tab/>
        <w:t xml:space="preserve"> </w:t>
        <w:tab/>
        <w:br/>
        <w:tab/>
        <w:t xml:space="preserve"> Приетата строително-техническата експертиза е определила общата стойност на вложените средства за материали и труд за подобренията на сумата 62650.40 лв. към 2008 г., а сумата, с която се е увеличила стойността на имота на 22554.20 лв. По отношение на ВиК инсталацията сумата, с която е увеличена стойността на имота е определена на 19800 лв., а сумата, с която е увеличена стойността на апартамента с изпълнение на ел. инсталация и ел. уреди – на 4452.00 лв.</w:t>
        <w:tab/>
        <w:br/>
        <w:tab/>
        <w:t xml:space="preserve"> </w:t>
        <w:tab/>
        <w:br/>
        <w:tab/>
        <w:t xml:space="preserve">Увеличената стойност на имота е определена от експертизата като разлика между цената на жилището, определена по действащи цени за изпълнение „стандарт” и изпълнение „лукс” публикувани в сп. „Стойексперт - СЕК” – кн. 7/8 от 2008 г., а не въз основа оценка на конкретния имот в състоянието му към установяване на владението (т. е. без подобренията) и след подобряването му, по пазарни цени към момента на постановяване на решението. </w:t>
        <w:tab/>
        <w:br/>
        <w:tab/>
        <w:t xml:space="preserve"> </w:t>
        <w:tab/>
        <w:br/>
        <w:tab/>
        <w:t xml:space="preserve">Това разрешение е в противоречие със задължителната практика по прилагане нормата на чл. 72 ЗС изразена в ПП № 6/74 г. на ВС на РБ. В нарушение на съдопроизводствените правила и трайната практика на ВКС съдът е пристъпил към определяне размера на предявения от касаторката иск по реда на чл. 130 ГПК отм. без да обсъди събраните писмени и гласни доказателства относно размера на вложените от нея средства за завършване на апартамента.</w:t>
        <w:tab/>
        <w:br/>
        <w:tab/>
        <w:t xml:space="preserve"> </w:t>
        <w:tab/>
        <w:br/>
        <w:tab/>
        <w:t xml:space="preserve">Допуснатите нарушение са основания по чл. 281, т. 3 ГПК за отмяна на въззивното решение е връщане на делото за ново разглеждане.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решение от 18.05.2010 г. по гр. д. № 661/2009 г. на Бургаски апелативен съд.</w:t>
        <w:tab/>
        <w:br/>
        <w:tab/>
        <w:t xml:space="preserve"> </w:t>
        <w:tab/>
        <w:br/>
        <w:tab/>
        <w:t xml:space="preserve">ВРЪЩА делото на въззивния съд за ново разглеждане от друг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