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№413/14.07.2009 по ч.гр.д. №393/2009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14. юли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тринадесети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393 по описа за 2009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определението на Варненския апелативен съд от 24.03.2009 г. по ч. гр. д. № 83/2009, с което е потвърдено определението на Варненския окръжен съд от 09.12.2008 г. за определяне размера на таксата по делото.</w:t>
        <w:tab/>
        <w:br/>
        <w:tab/>
        <w:t xml:space="preserve"> </w:t>
        <w:tab/>
        <w:br/>
        <w:tab/>
        <w:t xml:space="preserve">Недоволна от определението е касаторката Д. Г. З., представлявана от адв. Х от ВАК, който го обжалва в срок, като счита, че въззивният съд се е произнесъл по процесуалноправния въпрос за основата, върху която се определя размерът на таксата по искове с предмет права върху недвижим имот, който е релевантен за делото и има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определение прегражда развитието на дело с обжалваем интерес пред въззивната инстанция над 1.000 лева, намира, че определението подлежи на касационно обжалване. Касационната жалба е подадена в срок, редовна е и е допустима.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повдигнатият процесуалноправен въпрос има отношение към правото на защита. Той няма значение за точното прилагане на закона и развитието на правото, но се разрешава противоречиво от съдилищата.</w:t>
        <w:tab/>
        <w:br/>
        <w:tab/>
        <w:t xml:space="preserve"> </w:t>
        <w:tab/>
        <w:br/>
        <w:tab/>
        <w:t xml:space="preserve">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 съдът е прел, че цената на иска, който има за предмет права върху недвижим се имот се определя върху от данъчната оценка, само когато недвижимият имот е обект на договор за покупко-продажба. Когато правото върху недвижим имот е обект на друга разпоредителна сделка, цената на иска е пълната стойност на договора или най-малко данъчната оценка на имота.</w:t>
        <w:tab/>
        <w:br/>
        <w:tab/>
        <w:t xml:space="preserve"> </w:t>
        <w:tab/>
        <w:br/>
        <w:tab/>
        <w:t xml:space="preserve">В нарушение на закона въвззивният съд е приел, че стойността на договора се определя от оценката на имота към деня на предявяване на иска. Стойността на договора съгласно чл. 55, ал. 1, б. г ГПК отм. е цената (интересът), която (който) е посочена в него, а цената на иска съгласно чл. 55, ал. 2, б. б ГПК отм. е 1/4 от данъчната оценка за облагане с данък върху наследствата, както е посочена в удостоверението от Данъчната служба, съответно от пазарната цена, определена по преценка на съда по реда на чл. 57 ГПК отм., </w:t>
        <w:tab/>
        <w:br/>
        <w:tab/>
        <w:t xml:space="preserve"> </w:t>
        <w:tab/>
        <w:br/>
        <w:tab/>
        <w:t xml:space="preserve">Цената на иска се определя по б. б не само по исковете за собственост и по исковете за сключване на окончателен договор, които имат за предмет недвижим имот, но също и по исковете за съществуване, прогласяване на нищожността, установяване и обявяване недействителността, унищожаване, отменяване и разваляне на договори, които имат за предмет прехвърлянето на недвижим имот независимо от вида на договора: наименовани – продажба, дарение, замяна, апорт и др. или ненаименовани – за издръжка и гледане, за рента и др.</w:t>
        <w:tab/>
        <w:br/>
        <w:tab/>
        <w:t xml:space="preserve"> </w:t>
        <w:tab/>
        <w:br/>
        <w:tab/>
        <w:t xml:space="preserve">Предявеният иск е за недействителност на дарение, извършено от мним представител, което соченият като дарител и неговата наследница по закон отказват да потвърдят (чл. 42, ал. 2 ЗЗД). Цената на този иск се определя от данъчната оценка за облагане с данък върху наследствата 50.105, 40 лева, 1/4 от която възлиза на 12.526, 36 лева, т. е. над 10.000, лева.</w:t>
        <w:tab/>
        <w:br/>
        <w:tab/>
        <w:t xml:space="preserve"> </w:t>
        <w:tab/>
        <w:br/>
        <w:tab/>
        <w:t xml:space="preserve">Като не е съобразил изложеното въззивният съд е постановил незаконосъобразно определение, което следва да бъде отменено, а делото – върнато на Варненския окръжен съд за разглеждането му като първа инстанция, тъй като за родовата подсъдност съдът следи служебно. Дължимата държавна такса по предявения иск е в размер на 501, 05 лева.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касационното обжалване на определението на Варненския апелативен съд от 24.03.2009 г. по ч. гр. д. № 83/2009.</w:t>
        <w:tab/>
        <w:br/>
        <w:tab/>
        <w:t xml:space="preserve"> </w:t>
        <w:tab/>
        <w:br/>
        <w:tab/>
        <w:t xml:space="preserve">ОТМЕНЯ определението на Варненския апелативен съд от 24.03.2009 г. по ч. гр. д. № 83/2009.</w:t>
        <w:tab/>
        <w:br/>
        <w:tab/>
        <w:t xml:space="preserve"> </w:t>
        <w:tab/>
        <w:br/>
        <w:tab/>
        <w:t xml:space="preserve">ВРЪЩА делото на Варненския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