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№437/05.06.2012 по търг. д. №1017/2011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№437</w:t>
        <w:tab/>
        <w:br/>
        <w:tab/>
        <w:t xml:space="preserve"> </w:t>
        <w:tab/>
        <w:br/>
        <w:tab/>
        <w:t xml:space="preserve"> София, 05.06.2012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четвърти юни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1017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293 от 13.06.2011 год. по т. д.№ 192/2011 год. на Пловдивския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[фирма] срещу Решение № 480 от 28.12.2010 год. по гр. д.№ 499/2010 год. на Пловдивския окръжен съд с която първоинстанционният съд уважил искът с правно основание чл. 71 ТЗ предявен от [о] срещу [фирма]. Като е счел, че въззивната жалба е неоснователна, съставът на САС е потвърдил първоинстанционния акт, прилагайки по отношение на мотивите разпоредбата на чл. 272 ГПК. </w:t>
        <w:tab/>
        <w:br/>
        <w:tab/>
        <w:t xml:space="preserve"> </w:t>
        <w:tab/>
        <w:br/>
        <w:tab/>
        <w:t xml:space="preserve">Твърдението на О [населено място] е, че не е загубил качеството на акционер в [фирма], притежаващ 11814 бр. акции, Неправилно дружеството е приложило по отношение на общината чл. 189 ал. 2 ТЗ. </w:t>
        <w:tab/>
        <w:br/>
        <w:tab/>
        <w:t xml:space="preserve"> </w:t>
        <w:tab/>
        <w:br/>
        <w:tab/>
        <w:t xml:space="preserve">Тезата на ответника-касатор е, че О е придобила качеството на акционер при учредяването на дружеството, чрез апортна вноска на 50 дка земеделска земя, като по-късно е установено, че собственик на този имот е била държавата. След отправена покана, О не е внесла парична вноска, съответстваща на балансовата стойност на апортирания имот, поради което е настъпила последицата по чл. 189 ал. 2 предл. 1 ТЗ и тя е изключена от акционерно участие. </w:t>
        <w:tab/>
        <w:br/>
        <w:tab/>
        <w:t xml:space="preserve"> </w:t>
        <w:tab/>
        <w:br/>
        <w:tab/>
        <w:t xml:space="preserve"> В изложението по чл. 284 ал. 3 т. 1 ГПК, касаторът се позовава на основанието по чл. 280 ал. 1 т. 3 ГПК. Като обуславящ по смисъла на чл. 280 ал. 1 ГПК, процесуалният представител на [фирма] сочи въпроса: „</w:t>
        <w:tab/>
        <w:br/>
        <w:tab/>
        <w:t xml:space="preserve"> </w:t>
        <w:tab/>
        <w:br/>
        <w:tab/>
        <w:t xml:space="preserve">Как се определя размерът на вноската, която акционерът в забава следва да бъде поканен да внесе в производството по чл. 189 ТЗ</w:t>
        <w:tab/>
        <w:br/>
        <w:tab/>
        <w:t xml:space="preserve"> </w:t>
        <w:tab/>
        <w:br/>
        <w:tab/>
        <w:t xml:space="preserve">” </w:t>
        <w:tab/>
        <w:br/>
        <w:tab/>
        <w:t xml:space="preserve"> </w:t>
        <w:tab/>
        <w:br/>
        <w:tab/>
        <w:t xml:space="preserve">Настоящият съдебен състав счита, че основанието по т. 3 на чл. 280 ал. 1 ГПК е налице по посочения въпрос, който е и обуславящ изхода на спора, доколкото спорен е бил начинът на определяне размера на подлежащата на привнасяне стойност на апортната вноска.</w:t>
        <w:tab/>
        <w:br/>
        <w:tab/>
        <w:t xml:space="preserve"> </w:t>
        <w:tab/>
        <w:br/>
        <w:tab/>
        <w:t xml:space="preserve">Касаторът ще следва да внесе на основание чл. 18 ал. 2 т. 2 от Тарифа № 1/2008 год. на МП държавна такса в размер на 40 лв. в 1-седмичен срок от съобщението и представи вносен документ. в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293 от 13.06.2011 год. по т. д.№ 192/2011 год. на Пловдивския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[фирма], че следва да внесе по сметката на ВКС държавна такса в размер на 40 лв. в 1-седмичен срок от съобщението и да представи вносен документ.</w:t>
        <w:tab/>
        <w:br/>
        <w:tab/>
        <w:t xml:space="preserve"/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изтичането на срока и с оглед изпълнението на указанията, делото да се докладва за насрочване или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