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№125/18.05.2012 по търг. д. №737/2011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 737 /2011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247, ал. 1 ГПК. </w:t>
        <w:tab/>
        <w:br/>
        <w:tab/>
        <w:t xml:space="preserve"> </w:t>
        <w:tab/>
        <w:br/>
        <w:tab/>
        <w:t xml:space="preserve"> Съдът служебно констатира, че в определение №111/11.05.2012 г., постановено на основание чл. 282, ал. 5 ГПК, е допусната очевидна фактическа грешка при изписване на внесената сума от касатора [фирма] на основание чл. 282, ал. 2 ГПК като обезпечение за спиране изпълнението на въззивното решение. Посочена е сумата </w:t>
        <w:tab/>
        <w:br/>
        <w:tab/>
        <w:t xml:space="preserve"> </w:t>
        <w:tab/>
        <w:br/>
        <w:tab/>
        <w:t xml:space="preserve">70 343 лв</w:t>
        <w:tab/>
        <w:br/>
        <w:tab/>
        <w:t xml:space="preserve"> </w:t>
        <w:tab/>
        <w:br/>
        <w:tab/>
        <w:t xml:space="preserve">., вместо внесената и намираща се във ВКС по сметката за обезпеченията сума от </w:t>
        <w:tab/>
        <w:br/>
        <w:tab/>
        <w:t xml:space="preserve"> </w:t>
        <w:tab/>
        <w:br/>
        <w:tab/>
        <w:t xml:space="preserve">70 343.75 </w:t>
        <w:tab/>
        <w:br/>
        <w:tab/>
        <w:t xml:space="preserve"> </w:t>
        <w:tab/>
        <w:br/>
        <w:tab/>
        <w:t xml:space="preserve">лв. По този размер на внесеното обезпечение страните са взели становище в молбите си с правно основание по чл. 282, ал. 5 ГПК, поради което допуснатата очевидна фактическа грешка ще следва да бъде поправена.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ПОПРАВКА на очевидна фактическа грешка в Определение №111/11.05.2012 г. по т. д.№737/2011 год.,ВКС,І Т.О., като сумата, която да се преведе по посочената от частен съдебен изпълнител Т. Л., рег. №820, [населено място], с район на действие Пловдивския окръжен съд, сметка в [фирма], IBAN [банкова сметка], B., код R. с титуляр Д. „Л. и Г.”, по изп. д.№20118200400090/2011 г. по описа на ЧСИ Т. И. Л. вместо </w:t>
        <w:tab/>
        <w:br/>
        <w:tab/>
        <w:t xml:space="preserve"> </w:t>
        <w:tab/>
        <w:br/>
        <w:tab/>
        <w:t xml:space="preserve">70 343 лв. да се чете 70 343.75/СЕДЕМДЕСЕТ ХИЛЯДИ ТРИСТА ЧЕТИРИДЕСЕТ И ТРИ ЛВ И СЕДЕМДЕСЕТ И ПЕТ СТ.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