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№165/08.02.2013 по търг. д. №269/2012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съществуване на вземането</w:t>
        <w:tab/>
        <w:br/>
        <w:tab/>
        <w:t xml:space="preserve"> </w:t>
        <w:tab/>
        <w:br/>
        <w:tab/>
        <w:t xml:space="preserve">безвъзмездна финансова помощ по програма САПАРД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№165</w:t>
        <w:tab/>
        <w:br/>
        <w:tab/>
        <w:t xml:space="preserve"> </w:t>
        <w:tab/>
        <w:br/>
        <w:tab/>
        <w:t xml:space="preserve"> Гр.София, 08.02.2013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публично заседание на двадесет и шести ноември през две хиляди и дванадесета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при секретаря Красимира Атанасова, след като изслуша докладваното от съдия Калчева, т. д.№ 269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Р. Е. М., като [фирма], [населено място] срещу решение № 102/18.11.2011г., постановено по в. гр. д.№ 231/11г. от Бургаския апелативен съд, с което е отменено решение № 259/29.07.2011г. по гр. д.№ 704/11г. на Бургаския окръжен съд и е прието за установено, че. ....... има вземане против касатора за сумата от 366785.60 лв., представляваща получена безвъзмездна финансова помощ при условията на програма С. по договор № 964/19.12.2003г., подлежаща на връщане поради неизпълнение на чл. 4, т. 17 от договора и вземане в размер на 16146.41 лв., представляваща обезщетение за забава.</w:t>
        <w:tab/>
        <w:br/>
        <w:tab/>
        <w:t xml:space="preserve"> </w:t>
        <w:tab/>
        <w:br/>
        <w:tab/>
        <w:t xml:space="preserve"> Касаторът поддържа, че решението е неправилно и моли за неговата отмяна.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констатира следното: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е налице неизпълнение на задължението по чл. 4, т. 17 от договора за предоставяне на безвъзмездна финансова помощ, изразяващо се в увеличаване на броя на стаите, оборудвани за настаняване на туристи в семейния хотел на бенефициента, за сметка на предвидените по финансирания проект стаи за управителя, камериерките, джакузи, фитнес и стая за тихи игри. Неизпълнението на това задължение в продължение на контролния период било основание за връщане на предоставената помощ. Изложени са съображения, че чрез финансовото подпомагане се постигат целите на Регламент /ЕО/ 1268/1999 на Съвета от 21.06.1999г.</w:t>
        <w:tab/>
        <w:br/>
        <w:tab/>
        <w:t xml:space="preserve"> </w:t>
        <w:tab/>
        <w:br/>
        <w:tab/>
        <w:t xml:space="preserve"> С определение № 478/15.06.2012г. ВКС допусна касационно обжалване на основание чл. 280, ал. 1, т. 3 ГПК за произнасяне по въпроса: При тълкуване на клаузите на един договор за финансиране по програма С., следва ли да се съобразяват правилата и целите на Регламент /ЕО/ 1268/1999 на Съвета от 21.06.1999г.?</w:t>
        <w:tab/>
        <w:br/>
        <w:tab/>
        <w:t xml:space="preserve"> </w:t>
        <w:tab/>
        <w:br/>
        <w:tab/>
        <w:t xml:space="preserve"> Становището на настоящия състав на ВКС произтича от следното:</w:t>
        <w:tab/>
        <w:br/>
        <w:tab/>
        <w:t xml:space="preserve"> </w:t>
        <w:tab/>
        <w:br/>
        <w:tab/>
        <w:t xml:space="preserve"> Съгласно разпоредбата на чл. 20 ЗЗД при тълкуването на договорите за разкриване на действителната обща воля на страните, като критерий за тълкуване на отделните уговорки е посочена и целта на договора. Договорът за предоставяне на безвъзмездна финансова помощ при условията на специалната предприсъединителна програма на ЕС за развитие на земеделието и селските райони в Република България /С./ се сключва от специален орган –. ....... в изпълнение на чл. 12, ал. 4 от Закона за подпомагане на земеделските производители, по прилагане на който е издадена и Наредба № 15/18.05.2001г. на министъра на земеделието и горите. В наредбата са уредени условията и редът за подпомагане на проекти за развитие и разнообразяване на икономическите дейности и алтернативни доходи по програма С.. Програмата предвижда подкрепата на ЕС за устойчиво развитие на земеделието и селските райони в периода преди присъединяване на страни, кандидати за членове на Общността, вкл. Република България. </w:t>
        <w:tab/>
        <w:br/>
        <w:tab/>
        <w:t xml:space="preserve"> </w:t>
        <w:tab/>
        <w:br/>
        <w:tab/>
        <w:t xml:space="preserve"> Регламент /ЕО/ 1268/1999 на Съвета от 21.06.1999г. за подкрепата на Общността за предприсъединителните мерки за земеделие и развитие на селските райони в страните кандидати от Ц. и Източна Европа в предприсъединителния период установява рамката на подкрепата на Общността, която цели улесняване на прилагането на достиженията на правото на ЕО по отношение на общата селскостопанска политика и свързаните политики и за решаване на приоритетни и специфични проблеми в процеса на приспособяване на земеделския сектор и селските райони чл. 1. Въз основа на целите на програмата регламентът предвижда мерките за подпомагане, както и включва оценка, мониторинг и оценяване на ефективността им. Наблюдението на изпълнението на програмата, включително и от страната – кандидат има за предназначение успехът и въздействието относно определените цели – чл. 5. Съкращаването, преустановяването и отменянето на помощта се предприемат, ако мярката не успее да оправдае определеното й финансиране, съществуването на несъответствие или значително изменение, което влияе на естеството или на условията за прилагане на мерките, за които е получено одобрение – чл. 10.</w:t>
        <w:tab/>
        <w:br/>
        <w:tab/>
        <w:t xml:space="preserve"> </w:t>
        <w:tab/>
        <w:br/>
        <w:tab/>
        <w:t xml:space="preserve"> Съобразно с посочения регламент Наредба № 15/18.05.2001г. разпорежда осъществяване на последващ контрол върху целевото използване на инвестициите за срок от 5 години – чл. 28. Неизпълнението на условията по чл. 27 от Наредбата има за последица връщане на получената финансова помощ. Задълженията по чл. 27 включва и използване на придобитите въз основа на одобрения проект активи по предназначение.</w:t>
        <w:tab/>
        <w:br/>
        <w:tab/>
        <w:t xml:space="preserve"> </w:t>
        <w:tab/>
        <w:br/>
        <w:tab/>
        <w:t xml:space="preserve"> Въз основа на нормативната уредба на финансовото подпомагане по програма С., съставът на ВКС приема, че при последващия контрол по изпълнението, съответствието на одобрения проект, за изпълнение на който е сключен договорът, контролният орган следва да съобразява целта на предоставената помощ, което има значение за преценката на използването й по предназначение. Неизпълнението на договорното задължение се установява от контролния орган, но при спор, преценката за обема, вида на инвестицията и използването й по предназначение за срока на контрол, съдът следва да тълкува клаузите на договора. Тълкуването на договора следва да се съобрази и с одобрения проект, а изводите за предназначението на инвестициите и за евентуалното отклонение от това предназначение, следва да се основават на принципите и целите на отпускането на помощта, което представлява преценка за целта на договора по смисъла на чл. 20 ЗЗД.</w:t>
        <w:tab/>
        <w:br/>
        <w:tab/>
        <w:t xml:space="preserve"> </w:t>
        <w:tab/>
        <w:br/>
        <w:tab/>
        <w:t xml:space="preserve"> По тези съображения съставът на ВКС дава отговор на поставения правен въпрос в следния смисъл: При тълкуване на клаузите на договор за финансиране по програма С., съдът би могъл да съобрази и правилата и целите на Регламент /ЕО/ 1268/1999 на Съвета от 21.06.1999г., но доколкото регламентът не урежда реда и условията за сключване на конкретния договор между държавата, получаваща помощта, и лицето, ползващо същата, то целта на договора по чл. 20 ЗЗД може да се основе само на общата рамка за предназначението на финансирането с оглед на използването на помощта във връзка със степента и вида на евентуалното неизпълнение. </w:t>
        <w:tab/>
        <w:br/>
        <w:tab/>
        <w:t xml:space="preserve"> </w:t>
        <w:tab/>
        <w:br/>
        <w:tab/>
        <w:t xml:space="preserve"> По същество на касационната жалба.</w:t>
        <w:tab/>
        <w:br/>
        <w:tab/>
        <w:t xml:space="preserve"> </w:t>
        <w:tab/>
        <w:br/>
        <w:tab/>
        <w:t xml:space="preserve"> Основателно е касационното оплакване за допуснати нарушения от въззивния съд на процесуалните правила при обсъждане на събраните по делото доказателства – чл. 236, ал. 2 ГПК, на материалния закон при тълкуване на договора – чл. 20 ГПК и като резултат е постановено необосновано решение, което е неправилно съгласно чл. 281, т. 3 ГПК.</w:t>
        <w:tab/>
        <w:br/>
        <w:tab/>
        <w:t xml:space="preserve"> </w:t>
        <w:tab/>
        <w:br/>
        <w:tab/>
        <w:t xml:space="preserve"> На основание чл. 293, ал. 1 ГПК въззивното решение следва да се отмени, но тъй като не се налага повтарянето или извършването на нови съдопроизводствени действия, ВКС следва да постанови решението по съществото на спора.</w:t>
        <w:tab/>
        <w:br/>
        <w:tab/>
        <w:t xml:space="preserve"> </w:t>
        <w:tab/>
        <w:br/>
        <w:tab/>
        <w:t xml:space="preserve"> Предметът на сключения на 19.12.2003г. договор за предоставяне на бъзвъзмездна финансова помощ е за извършването на дейности по бизнес план към проект „Преустройство по време на строителство на жилищна сграда в семеен хотел с ресторант, доизграждане и оборудване на същия.”. Ф осъществява контрол за срок от 5 години след извършване на плащането, като в т. 4.17 ползвателят е поел задължение на използва придобитите въз основа на одобрената инвестиция активи по начина, описан в бизнес – плана.</w:t>
        <w:tab/>
        <w:br/>
        <w:tab/>
        <w:t xml:space="preserve"> </w:t>
        <w:tab/>
        <w:br/>
        <w:tab/>
        <w:t xml:space="preserve"> В одобрения бизнес – план е предвидено изграждането на отделни зони – кухня към ресторанта и хотелска част, както и са разпределени стаите и помещенията, при общ капацитет на 17 хотелски стаи, а на мансардния етаж – помещение за джакузи, зала за фитнес и зала за тихи игри. Семейният хотел следва да функционира от началото на месец май до края на октомври. Основната цел на проекта е определена като изглаждане на неголям, но предлагащ съвременни удобства, максимална индивидуалност и близко до семейния уют обслужване на своите гости хотел и ресторант, като се оказват и условия за предлагане на атракциони, включващи посещение на исторически забележителности и пътешествия по море. Очакваните резултати са ръст на чуждестранните туристи и по-специално на интерес, насочен към природните и антропогенни дадености на района, съдържащи елементи на селски туризъм.</w:t>
        <w:tab/>
        <w:br/>
        <w:tab/>
        <w:t xml:space="preserve"> </w:t>
        <w:tab/>
        <w:br/>
        <w:tab/>
        <w:t xml:space="preserve"> Спорът по делото е относно констатациите на комисия, извършила проверка за използване по предназначение на инвестицията от 10.11.2009г. След приключване на проверка ползвателят е подписал контролния лист, в който е било отбелязано заключение, че „инвестицията се използва съобразно проекта”. От показанията на разпитаните свидетели – експертите, които са извършили проверката, се установява, че след подписване на контролния лист, те извършили сравнение между бизнес плана и направения опис и отчели, че стаите за гости са 32, а не 23, както е по плана, като липсвали камериерски стаи, стая на управителя и джакузи.</w:t>
        <w:tab/>
        <w:br/>
        <w:tab/>
        <w:t xml:space="preserve"> </w:t>
        <w:tab/>
        <w:br/>
        <w:tab/>
        <w:t xml:space="preserve">Не се е спорило по делото, че петгодишният срок за контрол изтича на 16.02.2010г., както и че по време на проверката в хотела не е имало настанени гости и е правен ремонт. </w:t>
        <w:tab/>
        <w:br/>
        <w:tab/>
        <w:t xml:space="preserve"> </w:t>
        <w:tab/>
        <w:br/>
        <w:tab/>
        <w:t xml:space="preserve">Спорният въпрос е за начина на установяване на несъответствието между бизнес - плана и контролния лист относно броя на хотелските стаи. На базата на писмените и гласните доказателства съдът приема, че допълнителното отразяване на броя на стаите в контролния лист няма обвързваща доказателствена сила. Тези отбелязвания са направени след извършване на проверката от контролните органи и подписването на документа от ползвателя, поради което не могат да му се противопоставят. От друга страна, е налице разминаване между контролния лист и ръкописния опис, изготвен от свидетелките по време на проверката – в ръкописния опис са 27 стаи и апартаменти, без стаи с легла на основното ниво и на мансардния етаж, докато в контролния лист са 32 стаи, от които 1 на основно ниво и 4 на мансарден етаж. Свидетелите Д. и Н. обясняват, че леглата са втора употреба, доставени през месец ноември 2009г. за персонала на хотела, в тях не са настанявани туристи и не са оборудвани като хотелски стаи. При тези доказателства изводът на въззивния съд относно броя на стаите за гости се явява необоснован, като изграден единствено на база на данните от контролния лист.</w:t>
        <w:tab/>
        <w:br/>
        <w:tab/>
        <w:t xml:space="preserve"> </w:t>
        <w:tab/>
        <w:br/>
        <w:tab/>
        <w:t xml:space="preserve"> На следващо място, срокът на наблюдение от фонда е до 16.02.2010г., а конкретната проверка е извършена през месец ноември 2009г., т. е. в период, който не попада в туристическия сезон, определен в бизнес – плана, поради което евентуалната промяна на предназначението на помещенията не влияе на изпълнението на целите, заложени в бизнес-плана. Извън туристическия сезон ползвателят е предприел ремонт и дори същият да е свързан с промяна на предназначението на помещенията и да представлява подготовка за следващия туристически сезон, то изменението ще настъпи след изтичане на периода на контрол по използване на инвестицията по чл. 27 от Наредба № 15/18.05.2001г. При предшестващите проверки не е констатирано инвестицията да не е използвана по предназначение. </w:t>
        <w:tab/>
        <w:br/>
        <w:tab/>
        <w:t xml:space="preserve"> </w:t>
        <w:tab/>
        <w:br/>
        <w:tab/>
        <w:t xml:space="preserve">Финансовата помощ е получена по одобрената инвестиция, инвестицията е осъществена по предназначение и с това са постигнати целите на договора. Наредба № 15/18.05.2001г. и договорът от 19.12.2003г. не предвиждат връщане на предоставената помощ при промяна на предназначението на част от помещенията след изтичане на контролния период по изпълнението на проекта. В този смисъл, инвестицията е използвана по предназначение съобразно с одобрения проект, като евентуалното отклонение от това предназначение за период, който не попада в сезона за реалното ползване на инвестицията, не съответства на целта на договора по смисъла на чл. 20 ЗЗД. Ползвателят по договора е изправна страна, поради което не дължи връщане на получената финансова помощ съгласно чл. 30 от Наредба № 15/18.05.2001г.</w:t>
        <w:tab/>
        <w:br/>
        <w:tab/>
        <w:t xml:space="preserve"> </w:t>
        <w:tab/>
        <w:br/>
        <w:tab/>
        <w:t xml:space="preserve"> Предявеният иск за признаване за установено, че. .........” има вземане против касатора за сумата от 366785.60 лв., представляваща получена безвъзмездна финансова помощ при условията на програма С. по договор № 964/19.12.2003г., подлежаща на връщане поради неизпълнение на чл. 4, т. 17 от договора и вземане в размер на 16146.41 лв., представляващо обезщетение за забава, са неоснователни и следва да се отхвърлят.</w:t>
        <w:tab/>
        <w:br/>
        <w:tab/>
        <w:t xml:space="preserve"> </w:t>
        <w:tab/>
        <w:br/>
        <w:tab/>
        <w:t xml:space="preserve"> По разноските. С оглед на изхода от спора ответникът следва да заплати направените от касатора разноски по представения списък по чл. 80 ГПК в размер на 12688.64 лв.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№ 102/18.11.2011г. по в. гр. д.№ 231/11г. на Бургаския апелативен съд, като ПОСТАНОВЯВА:</w:t>
        <w:tab/>
        <w:br/>
        <w:tab/>
        <w:t xml:space="preserve"> </w:t>
        <w:tab/>
        <w:br/>
        <w:tab/>
        <w:t xml:space="preserve">ОТХВЪРЛЯ</w:t>
        <w:tab/>
        <w:br/>
        <w:tab/>
        <w:t xml:space="preserve"> </w:t>
        <w:tab/>
        <w:br/>
        <w:tab/>
        <w:t xml:space="preserve"> иска, предявен от. ......”, [населено място], [улица], № 136 за признаване за установено, че. ........... има вземане против Р. Е. М., като [фирма], [населено място], [улица], за сумата от 366785.60 лв., представляваща получена безвъзмездна финансова помощ при условията на програма С. по договор № 964/19.12.2003г., подлежаща на връщане поради неизпълнение на чл. 4, т. 17 от договора и вземане в размер на 16146.41 лв., представляващо обезщетение за забава.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. ............. [населено място], [улица], да заплати на Р. Е. М., като [фирма], [населено място], [улица], сумата от 12688.64 лв. /Дванадесет хиляди шестстотин осемдесет и осем лв. и 64 ст./ - разноски за производството.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