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№510/24.07.2012 по търг. д. №415/2012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изслуша докладваното от съдията Чаначева ч. т. дело 415/2012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касационна жалба на [фирма] – [населено място], И. срещу определение № 31 от 30.01.2012г. по ч. т. д. 14/12г. на Бургаски апелативен съд,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обсъди данните по делото намира следното:</w:t>
        <w:tab/>
        <w:br/>
        <w:tab/>
        <w:t xml:space="preserve"> </w:t>
        <w:tab/>
        <w:br/>
        <w:tab/>
        <w:t xml:space="preserve">Частната жалба е процесуално недопустима, поради което следва да бъде оставена без разглеждане.</w:t>
        <w:tab/>
        <w:br/>
        <w:tab/>
        <w:t xml:space="preserve"> </w:t>
        <w:tab/>
        <w:br/>
        <w:tab/>
        <w:t xml:space="preserve"> С определението, предмет на обжалване, е оставена без разглеждане частната жалба на настоящия жалбоподател срещу отказа да бъде конституиран в производството преди откриване производството по несъстоятелност т. е. преди произнасяне на съда по несъстоятелност по молбата на длъжника по чл. 625 и сл.ТЗ, като съдът е приел, че не е налице обжалваем акт, което прави и подадената жалба недопустима. </w:t>
        <w:tab/>
        <w:br/>
        <w:tab/>
        <w:t xml:space="preserve"> </w:t>
        <w:tab/>
        <w:br/>
        <w:tab/>
        <w:t xml:space="preserve"> Обжалваният съдебен акт не е от категорията съдебни актове, за които е предвидена обжалваемост с частна жалба. Чл. 613а, ал. 1 ТЗ изрично изброява актовете, които подлежат на триинстанционен контрол по реда на ГПК, като с ал. 3 на текста императивно е указано, че извън случаите по ал. 1, постановените от окръжните съдилища в производство по несъстоятелност актове, подлежат на обжалване само пред съответния апелативен съд. Следователно, обжалваното определение подлежи на двуинстанционно разглеждане, поради което, след произнасяне на Бургаски апелативен съд е изчерпан реда за обжалване и постановения от него акт е влязъл в сила. 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частната касационна жалба на [фирма] – [населено място], И. срещу определение № 31 от 30.01.2012г. по ч. т. д. 14/12г. на Бургаски апелативен съд, 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ВКС, ТК, в седмичен срок от съобщенията, че е постановено.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