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№949/16.04.2024 по ч. търг. д. №2072/2023 на ВКС, ТК, II т.о., докладвано от съдия Анна Баева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949</w:t>
        <w:tab/>
        <w:br/>
        <w:tab/>
        <w:t xml:space="preserve"/>
        <w:tab/>
        <w:br/>
        <w:tab/>
        <w:t xml:space="preserve">гр. София, 16.04.2024 год.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единадесети април през две хиляди двадесет и трета година, в състав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/>
        <w:tab/>
        <w:br/>
        <w:tab/>
        <w:t xml:space="preserve"> ЧЛЕНОВЕ: АННА БАЕВА</w:t>
        <w:tab/>
        <w:br/>
        <w:tab/>
        <w:t xml:space="preserve"/>
        <w:tab/>
        <w:br/>
        <w:tab/>
        <w:t xml:space="preserve"> ЗОРНИЦА ХАЙДУКОВА</w:t>
        <w:tab/>
        <w:br/>
        <w:tab/>
        <w:t xml:space="preserve"/>
        <w:tab/>
        <w:br/>
        <w:tab/>
        <w:t xml:space="preserve">като изслуша докладваното от съдия Баева т. д. № 2072 по описа за 2023г. и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чл.274, ал.2 ГПК.</w:t>
        <w:tab/>
        <w:br/>
        <w:tab/>
        <w:t xml:space="preserve"/>
        <w:tab/>
        <w:br/>
        <w:tab/>
        <w:t xml:space="preserve">Образувано е по частна жалба на Х. Н. Н., представляван от адв. К. К., срещу протоколно определение от 05.10.2023г. по в. т.д. № 176/2023г. на Апелативен съд – Бургас, с което е обезсилено решение № 169 от 29.05.2023г. по т. д. № 76/2022г. на Окръжен съд – Бургас и е прекратено производството по делото.</w:t>
        <w:tab/>
        <w:br/>
        <w:tab/>
        <w:t xml:space="preserve"/>
        <w:tab/>
        <w:br/>
        <w:tab/>
        <w:t xml:space="preserve">Частният жалбоподател твърди, че подписът под привидното изявление, с което се десезира съдът, не е изпълнен от него, поради което прави искане за допускане на съдебно-графологична експертиза, която, след като се запознае с материалите по делото, да отговори на въпроса дали подписът в молба вх. № 87851 от 29.09.2023г. по описа на Апелативен съд – Бургас е положен от него.</w:t>
        <w:tab/>
        <w:br/>
        <w:tab/>
        <w:t xml:space="preserve"/>
        <w:tab/>
        <w:br/>
        <w:tab/>
        <w:t xml:space="preserve">Ответникът „Слънчев бряг“ АД представя отговор, в който сочи, че не може да вземе становище по основателността на изложените в частната жалба твърдения.</w:t>
        <w:tab/>
        <w:br/>
        <w:tab/>
        <w:t xml:space="preserve"/>
        <w:tab/>
        <w:br/>
        <w:tab/>
        <w:t xml:space="preserve"> Настоящият състав на Върховния касационен съд, Търговска колегия, второ отделение, намира, че направеното с частната жалба доказателствено искане е относимо и допустимо, поради което следва да бъде уважено. </w:t>
        <w:tab/>
        <w:br/>
        <w:tab/>
        <w:t xml:space="preserve"/>
        <w:tab/>
        <w:br/>
        <w:tab/>
        <w:t xml:space="preserve">С оглед необходимостта от събиране на доказателства делото следва да бъде насрочено за разглеждане в открито съдебно заседания.</w:t>
        <w:tab/>
        <w:br/>
        <w:tab/>
        <w:t xml:space="preserve"/>
        <w:tab/>
        <w:br/>
        <w:tab/>
        <w:t xml:space="preserve">Така мотивиран, съдът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ДОПУСКА съдебно-графологична експертиза със задача вещото лице да отговори на въпроса дали подписът в молба вх. № 87851 от 29.09.2023г. по описа на Апелативен съд – Бургас е положен от Х. Н. Н., при възнаграждение в размер на 400 лева, вносимо от частния жалбоподател в едноседмичен срок от съобщението по сметка на ВКС.</w:t>
        <w:tab/>
        <w:br/>
        <w:tab/>
        <w:t xml:space="preserve"/>
        <w:tab/>
        <w:br/>
        <w:tab/>
        <w:t xml:space="preserve">ВЪЗЛАГА изготвянето на експертизата на вещо лице С. Г. Х..</w:t>
        <w:tab/>
        <w:br/>
        <w:tab/>
        <w:t xml:space="preserve"/>
        <w:tab/>
        <w:br/>
        <w:tab/>
        <w:t xml:space="preserve">ЗАДЪЛЖАВА частния жалбоподател Х. Н. Н. да предостави на вещото лице сравнителен материал и образци от подписи за изготвяне на експертизата, като при необходимост бъде използван като сравнителен материал и подписът на Х. Н. Н., положен в Отдел „Български документи за самоличност“.</w:t>
        <w:tab/>
        <w:br/>
        <w:tab/>
        <w:t xml:space="preserve"/>
        <w:tab/>
        <w:br/>
        <w:tab/>
        <w:t xml:space="preserve">НАСРОЧВА делото в открито съдебно заседание на 28.05.2024г. – 10,30 часа.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