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№452/06.11.2018 по ч. търг. д. №1997/2018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452</w:t>
        <w:tab/>
        <w:br/>
        <w:tab/>
        <w:t xml:space="preserve"> </w:t>
        <w:tab/>
        <w:br/>
        <w:tab/>
        <w:t xml:space="preserve">София, 06.11.2018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двадесет и втори октомври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изслуша докладваното от съдията Ел. Чаначева ч. т.дело № 1997/2018 година,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ГПК, образувано по частна касационна жалба на ЕТ „Деси – Светла Симеонова“ срещу определение № 135 от 13.07.2018 г. по в. ч.гр. д. № 220/2018 г. на Окръжен съд Видин.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Касаторът в изложението си на основанията по чл. 280, ал. 1 ГПК е поставил въпросите: 1. „Попадат ли в обхвата на дължимата от съдията по вписванията проверка на материалноправните предпоставки по чл. 3, ал. 4 ЗАЗ (Обн. ДВ.бр. 42/22.05.2018г.) при вписване на анекс към договор за аренда в земеделието или на нов договор за аренда, сключени след изменението на нормата?” и 2. „Направената законодателна промяна на материалния закон води ли до правната възможност в действащи договорни отношения, създадени между конкретни страни – арендодател-арендатор, извън предвидената досега възможност (при заместване по право) да встъпват трети на тези правоотношения лица, каквито в случая биха се явили неучастващи като страни в договора съсобственици, за да бъде изпълнено изискване за повече от 50% ид. части от съсобствен имот?”. </w:t>
        <w:tab/>
        <w:br/>
        <w:tab/>
        <w:t xml:space="preserve"> </w:t>
        <w:tab/>
        <w:br/>
        <w:tab/>
        <w:t xml:space="preserve">Тъй като разгледаният от страната първи въпрос е поставен за разрешаване от Общото събрание на Гражданска и Търговска колегия при ВКС с разпореждане от 19.01.2018 г. на Председателя на ВКС по образуваното със същото разпореждане тълкувателно дело № 1/18, на основание чл. 292 ГПК настоящото производство следва да бъде спряно.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ч. т.д. № 1997/2018 на ВКС, І т. о., до постановяване на решение по тълкувателно дело № 1/2018 г. на ОСГТК на ВКС.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