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№191/25.03.2024 по нак. д. №1177/2023 на ВКС, НК, II н.о., докладвано от съдия Петя Шишкова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191</w:t>
        <w:tab/>
        <w:br/>
        <w:tab/>
        <w:t xml:space="preserve"/>
        <w:tab/>
        <w:br/>
        <w:tab/>
        <w:t xml:space="preserve">Гр.София, 25.03.2024г.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открито съдебно заседание на двадесет и четвърти януари 2024г. в състав:</w:t>
        <w:tab/>
        <w:br/>
        <w:tab/>
        <w:t xml:space="preserve"/>
        <w:tab/>
        <w:br/>
        <w:tab/>
        <w:t xml:space="preserve"> ПРЕДСЕДАТЕЛ: Бисер Троянов</w:t>
        <w:tab/>
        <w:br/>
        <w:tab/>
        <w:t xml:space="preserve"/>
        <w:tab/>
        <w:br/>
        <w:tab/>
        <w:t xml:space="preserve"> ЧЛЕНОВЕ: Петя Шишкова</w:t>
        <w:tab/>
        <w:br/>
        <w:tab/>
        <w:t xml:space="preserve"/>
        <w:tab/>
        <w:br/>
        <w:tab/>
        <w:t xml:space="preserve"> Петя Колева</w:t>
        <w:tab/>
        <w:br/>
        <w:tab/>
        <w:t xml:space="preserve"/>
        <w:tab/>
        <w:br/>
        <w:tab/>
        <w:t xml:space="preserve">при секретар Галина Иванова и с участието на прокурора от ВП Николай Любенов, като изслуша докладваното от съдия Шишкова к. д. № 1177/23г. по описа на Върховния касационен съд, за да се произнесе, взе предвид следното:</w:t>
        <w:tab/>
        <w:br/>
        <w:tab/>
        <w:t xml:space="preserve"/>
        <w:tab/>
        <w:br/>
        <w:tab/>
        <w:t xml:space="preserve"> Касационното производство е по реда на чл.346, т.1 от НПК.</w:t>
        <w:tab/>
        <w:br/>
        <w:tab/>
        <w:t xml:space="preserve"/>
        <w:tab/>
        <w:br/>
        <w:tab/>
        <w:t xml:space="preserve">Образувано е по жалба от защитника на подсъдимия К. К. против решение № 206 от 14.11.2023г. на Пловдивския апелативен съд по ВНОХД № 286/2023г. В жалбата са отбелязани касационните основания по чл.348, ал.1, т.1, т.2 и т.3 от НПК. Твърди се, че апелативният съд не е изложил собствени съображения, а е възпроизвел дословно мотивите към присъдата, че е игнорирал доказателствата за предназначението на стоките, с които подсъдимият е преминал границата, както и за честотата на пътуванията му. Претендираното нарушение на материалния закон се изразява в неправилна квалификация на деянието като такова по чл.242, ал.1, б.“д“, вместо по чл.251, ал.1 от НК. Явната несправедливост на наказанието според защитника произтича от обстоятелството, че не е приложен закон за по-леко наказуемо престъпление. Направено е искане за отмяна на решението, оправдаване на К. по повдигнатото обвинение и преквалифициране на деянието.</w:t>
        <w:tab/>
        <w:br/>
        <w:tab/>
        <w:t xml:space="preserve"/>
        <w:tab/>
        <w:br/>
        <w:tab/>
        <w:t xml:space="preserve">В съдебно заседание защитникът поддържат жалбата.</w:t>
        <w:tab/>
        <w:br/>
        <w:tab/>
        <w:t xml:space="preserve"/>
        <w:tab/>
        <w:br/>
        <w:tab/>
        <w:t xml:space="preserve">Прокурорът от Върховна прокуратура дава заключение, че жалбата е неоснователна и въззивното решение следва да бъде оставено в сила.</w:t>
        <w:tab/>
        <w:br/>
        <w:tab/>
        <w:t xml:space="preserve"/>
        <w:tab/>
        <w:br/>
        <w:tab/>
        <w:t xml:space="preserve">Върховният касационен съд, след като обсъди доводите на страните и извърши проверка на атакувания съдебен акт в пределите по чл. 347, ал. 1 от НПК, намери жалбата за основателна. </w:t>
        <w:tab/>
        <w:br/>
        <w:tab/>
        <w:t xml:space="preserve"/>
        <w:tab/>
        <w:br/>
        <w:tab/>
        <w:t xml:space="preserve">С присъда № 13 от 07.04.2023г., постановена по НОХД № 536/2022г., Хасковският окръжен съд е признал подсъдимия К. К., роден в Република Турция, гражданин на Федерална република Германия, живущ във Федерална република Германия, за виновен в това, че 07.08.2022г. през ГКПП „Капитан Андреево“, с лек автомобил марка „БМВ“, модел „Х1“, пренесъл през границата на страната без знанието и разрешението на митниците стоки за търговски цели в големи размери, а именно 51 бр. златни гривни, 2бр. колиета и синджир с общо нетно тегло 1 980,50гр. на стойност 249 543лв. и на основание чл.242, ал.1, б.“д“, вр. чл.55, ал.1, т.1 и ал.2 от НК му е наложил наказание лишаване от свобода за срок от една година и шест месеца и глоба в размер на 10 000лв. На основание чл.66, ал.1 от НК е отложил изпълнението на наказанието лишаване от свобода за тригодишен изпитателен срок. Предметът на престъплението е отнет в полза на държавата. С решението на Пловдивския апелативен съд присъдата е потвърдена изцяло. </w:t>
        <w:tab/>
        <w:br/>
        <w:tab/>
        <w:t xml:space="preserve"/>
        <w:tab/>
        <w:br/>
        <w:tab/>
        <w:t xml:space="preserve">Преимуществено аргументите на касатора са насочени срещу аналитичната дейност на съда. Твърди се, че не са надлежно обсъдени наличните доказателства за това, че златните бижута не са предназначени за търговия, в резултат на което съдът е направил погрешен фактически извод. Оплакването е основателно. При установяване на обстоятелството, че накитите се пренасят през границата с търговска цел, апелативната инстанция е допуснала съществени процесуални нарушения. </w:t>
        <w:tab/>
        <w:br/>
        <w:tab/>
        <w:t xml:space="preserve"/>
        <w:tab/>
        <w:br/>
        <w:tab/>
        <w:t xml:space="preserve">По спорния въпрос съдът се е обосновал с „количеството и асортимента“ на изделията и високата им стойност, които според него сочат, че стоките се пренасят за търговия. Безспорно, златните бижута са много, но броят им не изключва възможността да са предназначени за сватбен подарък и дори да бъдат носени едновременно от булката. Опаковани са в шест пакета. Преобладаващото количество са тънки гривни, обичайно носени по няколко. В този смисъл, обстоятелствата, на които се е позовала въззивната инстанция не са достатъчни да докажат по безспорен начин търговско предназначение на изделията. В резултат на установяването им възниква единствено предположение, и като е основал фактическия си извод на него, Пловдивският апелативен съд е нарушил на чл.303, ал.1 от НПК. </w:t>
        <w:tab/>
        <w:br/>
        <w:tab/>
        <w:t xml:space="preserve"/>
        <w:tab/>
        <w:br/>
        <w:tab/>
        <w:t xml:space="preserve">Друго отменително основание е нарушаването на презумпцията за невиновност. Не са спазени правилата на чл.103 от НПК за разпределение на доказателствената тежест в наказателния процес. Прокуратурата не е подкрепила с достатъчно доказателства твърдението, че предмет на престъплението са стоки за търговски цели, а подсъдимият К. К., независимо че не е бил длъжен да доказва невинността си, е предоставил и е участвал активно в събирането на многобройни доказателства, които сериозно разколебават обвинението. Благодарение на неговите процесуални усилия е установено, че работи като строител и консултант по недвижими имоти, а не търгува със злато, че не пътува регулярно до Турция, за да доставя стоки, а ходи на почивка и се среща с роднини по време на ваканцията на децата, обикновено веднъж в годината. Заявил е, че златото е за сватбен подарък още в момента на митническата проверка на граничния пункт и позицията му е останала непроменена. Тя е в пълно съответствие с показанията на свидетелите М. С., Ф. С. и Х. Ю.. Превратно показанията на М. С. са интерпретирани в смисъл, че опровергават версията на подсъдимия. Той не е знаел, че златото е в куфара на брат му, но е бил добре информиран за предстоящата сватба в семейството и своевременно е потвърдил казаното от подсъдимия на митническите служители.</w:t>
        <w:tab/>
        <w:br/>
        <w:tab/>
        <w:t xml:space="preserve"/>
        <w:tab/>
        <w:br/>
        <w:tab/>
        <w:t xml:space="preserve">Защитата е поставила под съмнение извода, че големият брой на бижутата сочи на търговска цел, като е въвела тезата, че количеството и значителната им стойност се обясняват с факта, че подаръкът не е индивидуален, а от няколко мъже от семейството /подсъдимия, двама от братята му и баща им/. Гривните са подбрани със сходни мотиви, за да се отличават от подарените от другите семейства. Освен с показанията на цитираните трима свидетели, това твърдение е подкрепено и с документ за заплащане на част от цената в размер на 650 000 турски лири от Ф. С.. Събрани са доказателства и за съществуването на източен обичай за даряване на булката със злато, което по-късно да служи като капитал на младото семейство. В този смисъл са показанията и на главния митнически инспектор Т. М.. </w:t>
        <w:tab/>
        <w:br/>
        <w:tab/>
        <w:t xml:space="preserve"/>
        <w:tab/>
        <w:br/>
        <w:tab/>
        <w:t xml:space="preserve">Съдът е отхвърлил обясненията на подсъдимия като недостоверни, поради противоречия в тях и в показанията на братята му по повод личността на младоженците. Тези противоречия са били своевременно констатирани от първата инстанция и са преодолени, като е изяснено, че младоженецът е внук на първи братовчед на баща им, а объркването е възникнало защото се обръща към него с „дядо“.</w:t>
        <w:tab/>
        <w:br/>
        <w:tab/>
        <w:t xml:space="preserve"/>
        <w:tab/>
        <w:br/>
        <w:tab/>
        <w:t xml:space="preserve">От изложеното е видно, че подсъдимият е изградил стройна защитна теза, която съдът вместо да обсъди надлежно, е приел за опровергана от предположение, базирано на броя и стойността на накитите. Най-малкото е следвало да констатира наличието на съмнение по въпроса за предназначението на стоките, което да съобрази в полза на подсъдимия или да положи усилия да отстрани. В тази връзка следва да се отбележи, че съобщените от К. К. и близките му факти са проверяеми. Известни са имената на младоженците, времето и мястото на сватбата, и съдът разполага с необходимите данни за изискване на информация дали действително такава сватба се е състояла и дали младоженецът има родствена връзка с подсъдимия. </w:t>
        <w:tab/>
        <w:br/>
        <w:tab/>
        <w:t xml:space="preserve"/>
        <w:tab/>
        <w:br/>
        <w:tab/>
        <w:t xml:space="preserve">Посочените процесуални нарушения следва да бъдат отстранени, като решението бъде отменено и делото се върне за ново разглеждане от друг състав на въззивната инстанция, който да изясни предназначението на пренасяните през границата стоки по предвидения в НПК ред.</w:t>
        <w:tab/>
        <w:br/>
        <w:tab/>
        <w:t xml:space="preserve"/>
        <w:tab/>
        <w:br/>
        <w:tab/>
        <w:t xml:space="preserve"> За пълнота на изложението следва да бъдат дадени указания за правилното приложение на закона във връзка с искането на защитника за преквалифициране на деянието като такова по чл.251, ал.1 от НК. С изменение на Наказателния кодекс, ДВ, бр.82 от 2023г. в сила от 23.09.2023г., недекларирането на пренасяни през границата на страната изделия от благородни метали в особено големи размери е декриминализирано. Отпаднали са и разпоредбите от Валутния закон, въвеждащи изискване за деклариране пред митническите органи на благородните метали, скъпоценните камъни и изделията от тях. Така националното законодателство е приведено в съответствие с Регламент (EC)2018/1672. Към момента контрол върху внасянето на благородни метали в страните – членки е предвиден само, доколкото попадат в категорията стоки, използвани като високоликвидни средства за съхраняване на стойност. Такива са стоките с голямо съотношение между стойност и обем, за които има лесно достъпен международен пазар, и е възможно да бъдат превърнати във валута при сравнително ниски трансакционни разходи. Обикновено са в стандартен вид, с възможност за бърза проверка на стойността им. Златото представлява такава стока само, когато е във вид на монети със съдържание на метала най-малко 90%, както и когато е под формата на кюлчета, късове или буци с чистота най-малко 99,5%. С оглед актуалното законодателство и разпоредбата на чл.2, ал.2 от НК, предложената в касационната жалба преквалификация на деянието е недопустима. </w:t>
        <w:tab/>
        <w:br/>
        <w:tab/>
        <w:t xml:space="preserve"/>
        <w:tab/>
        <w:br/>
        <w:tab/>
        <w:t xml:space="preserve">Водим от горното, и на основание чл.354, ал.3, т.2 от НПК, Върховният касационен съд, второ наказателно отделение,</w:t>
        <w:tab/>
        <w:br/>
        <w:tab/>
        <w:t xml:space="preserve"/>
        <w:tab/>
        <w:br/>
        <w:tab/>
        <w:t xml:space="preserve">Р Е Ш И :</w:t>
        <w:tab/>
        <w:br/>
        <w:tab/>
        <w:t xml:space="preserve"/>
        <w:tab/>
        <w:br/>
        <w:tab/>
        <w:t xml:space="preserve"> Отменя решение № 206 от 14.11.2023г., постановено по ВНОХД № 286/2023г. на Апелативен съд – Пловдив.</w:t>
        <w:tab/>
        <w:br/>
        <w:tab/>
        <w:t xml:space="preserve"/>
        <w:tab/>
        <w:br/>
        <w:tab/>
        <w:t xml:space="preserve"> Връща делото за ново разглеждане от друг състав на въззивния съд.</w:t>
        <w:tab/>
        <w:br/>
        <w:tab/>
        <w:t xml:space="preserve"/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