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№355/12.07.2016 по гр. д. №2891/2016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355</w:t>
        <w:tab/>
        <w:br/>
        <w:tab/>
        <w:t xml:space="preserve"> </w:t>
        <w:tab/>
        <w:br/>
        <w:tab/>
        <w:t xml:space="preserve"> София, 12.07.2016г.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България,ГК,ІV г. о.,в закрито заседание на единадесети юли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съдията Бояджиева ч. гр. дело № 2891 по описа за 2016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 във вр. с чл. 280 ал. 1 ГПК.</w:t>
        <w:tab/>
        <w:br/>
        <w:tab/>
        <w:t xml:space="preserve"> </w:t>
        <w:tab/>
        <w:br/>
        <w:tab/>
        <w:t xml:space="preserve"> Образувано е по частна касационна жалба, подадена от МВ [фирма] /в несъстоятелност / и Н. Г. Г. чрез пълномощник адв.В. М. против определение № 73 от 18.02.16г. на Великотърновския апелативен съд в частта му, с която е потвърдено определение № 1635/28.12.15г. на Русенския окръжен съд, постановено по гр. дело № 975/14г.,за оставяне без уважение искането на жалбоподателите за освобождаване от държавна такса.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въпросът за приложимостта на процесуалните правила на ЗОДОВ,включително и на нормите, определящи размера на държавната такса в производството по ЗОДОВ,към исковете за обезщетение за вредите, причинени от публични институции в резултат на нарушаване на правото на ЕС,е обусловен от отговорите на въпросите:1.Кой е компетентният съд, който следва да разгледа искова молба с правно основание чл. 4 §3 от Д.,с която се търси реализиране отговорността на държавата за нарушение на правото на ЕС; 2.Кой е приложимият процесуален ред за разглеждане на искова претенция с правно основание чл. 4 § 3 от Д..По тези въпроси е образувано за разглеждане ТД № 2/2015г. на ОСГК на ВКС и Първа и Втора колегии на ВАС,поради което следва на основание чл. 292 ГПК да се спре производството по настоящото дело до приемането на тълкувателното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производството по ч. гр. дело № 2891/16г. по описа на ІV г. о.на ВКС до приемане на тълкувателно решение по ТД № 2/15г. на ОСГК на ВКС и Първа и Втора колегии на ВАС.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