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№218/08.07.2016 по гр. д. №4551/2015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218</w:t>
        <w:tab/>
        <w:br/>
        <w:tab/>
        <w:t xml:space="preserve"> </w:t>
        <w:tab/>
        <w:br/>
        <w:tab/>
        <w:t xml:space="preserve"> София, 08.07. 2016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шести юли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ЦОНЕВкато разгледа докладваното от съдия А. Бонева гр. дело № 4551 по описа за 2015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[фирма], [населено място], представлявано от изпълнителния директор А. Я. К., чрез адв. М. П. и адв. А. М., срещу въззивно решение № 45/14.05.2015 г., постановено от Бургаския апелативен съд по т. д. № 95/2015 г. в частта, с която искът по чл. 59, ал. 1 ЗЗД е отхвърлен за разликата над 43 864 лв. до пълния предявен размер от 84 257 лв., като погасен по давност.</w:t>
        <w:tab/>
        <w:br/>
        <w:tab/>
        <w:t xml:space="preserve"> </w:t>
        <w:tab/>
        <w:br/>
        <w:tab/>
        <w:t xml:space="preserve">С определение по реда на чл. 288 ГПК съдът е допуснал касационно обжалване на въззивното решение, като един от поставените правни въпроси е за възраженията на ответника, включително за изтекла погасителна давност, при изменение в размера на иска. Произнасянето по въпроса изисква вземане на становище както за сроковете, в които може да се направи възражението, така и от кой момент се спира или прекъсва погасителната давност за предявената, чрез увеличение в размера, част на иска.</w:t>
        <w:tab/>
        <w:br/>
        <w:tab/>
        <w:t xml:space="preserve"> </w:t>
        <w:tab/>
        <w:br/>
        <w:tab/>
        <w:t xml:space="preserve">Този въпрос е включен в образуваното, с разпореждане на председателя на ВКС, тълкувателно дело № 3/2016 г. на ОСГТК на ВКС.</w:t>
        <w:tab/>
        <w:br/>
        <w:tab/>
        <w:t xml:space="preserve"> </w:t>
        <w:tab/>
        <w:br/>
        <w:tab/>
        <w:t xml:space="preserve">При така установеното, производството по настоящото дело следва да бъде спряно до постановяване на тълкувателно решение.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гр. д. № 4551/2015 г. на ІV ГО на ВКС до постановяване на тълкувателно решение по Тълкувателно дело № 3/2016 г. на ОСГТК на ВКС.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