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№460/24.10.2019 по ч.гр.д. №3806/2019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460</w:t>
        <w:tab/>
        <w:br/>
        <w:tab/>
        <w:t xml:space="preserve"> </w:t>
        <w:tab/>
        <w:br/>
        <w:tab/>
        <w:t xml:space="preserve">гр. София, 24 октомври 2019 г.</w:t>
        <w:tab/>
        <w:br/>
        <w:tab/>
        <w:t xml:space="preserve"> </w:t>
        <w:tab/>
        <w:br/>
        <w:tab/>
        <w:t xml:space="preserve"> ВЪРХОВНИЯТ КАСАЦИОНЕН СЪД, Четвърто гражданско отделение, в закрито заседание на двадесет и втори октомври през две хиляди и деветнадесета година, в състав:</w:t>
        <w:tab/>
        <w:br/>
        <w:tab/>
        <w:t xml:space="preserve"> </w:t>
        <w:tab/>
        <w:br/>
        <w:tab/>
        <w:t xml:space="preserve"> ПРЕДСЕДАТЕЛ: АЛБЕНА БОНЕВА</w:t>
        <w:tab/>
        <w:br/>
        <w:tab/>
        <w:t xml:space="preserve"> </w:t>
        <w:tab/>
        <w:br/>
        <w:tab/>
        <w:t xml:space="preserve"> ЧЛЕНОВЕ: БОЯН ЦОНЕВ</w:t>
        <w:tab/>
        <w:br/>
        <w:tab/>
        <w:t xml:space="preserve"> </w:t>
        <w:tab/>
        <w:br/>
        <w:tab/>
        <w:t xml:space="preserve"> ЛЮБКА АНДОНОВА</w:t>
        <w:tab/>
        <w:br/>
        <w:tab/>
        <w:t xml:space="preserve"> </w:t>
        <w:tab/>
        <w:br/>
        <w:tab/>
        <w:t xml:space="preserve">като разгледа, докладваното от съдия Б. Ц, частно гр. дело № 3806 по описа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274, ал. 2, изреч. 1, предл. 1, във вр. с ал. 1, т. 1 от ГПК. </w:t>
        <w:tab/>
        <w:br/>
        <w:tab/>
        <w:t xml:space="preserve"> </w:t>
        <w:tab/>
        <w:br/>
        <w:tab/>
        <w:t xml:space="preserve">Образувано е по частна жалба с вх. № 9520/14.05.2019 г., подадена от „Алфаком принт“ АД (чрез представляващия го член на съвета на директорите му Ж. С. Т.) срещу разпореждане от 17.04.2019 г., постановено по частно гр. дело № 996/2019 г. на Софийския апелативен съд (САС). С обжалваното разпореждане е върната частна (неточно наименована „касационна“) жалба с вх. № 7195/09.04.2019 г., подадена от жалбоподателя срещу определение № 805/05.03.2019 г., постановено по същото частно гр. дело на САС.</w:t>
        <w:tab/>
        <w:br/>
        <w:tab/>
        <w:t xml:space="preserve"> </w:t>
        <w:tab/>
        <w:br/>
        <w:tab/>
        <w:t xml:space="preserve">За да постанови обжалваното разпореждане, апелативният съд е намерил, че частната жалба с вх. № 7195/09.04.2019 г. е просрочена, като в тази връзка е приел, че препис от определение № 805/05.03.2019 г. е получен от дружеството-жалбоподател чрез „управителя“ му (представляващия го по закон) Ж. Т. на 13.03.2019 г., че срокът за обжалване е изтекъл на 20.03.2019 г., както и че жалбата е подадена в съда на 09.04.2019 г. </w:t>
        <w:tab/>
        <w:br/>
        <w:tab/>
        <w:t xml:space="preserve"> </w:t>
        <w:tab/>
        <w:br/>
        <w:tab/>
        <w:t xml:space="preserve">Частната жалба с вх. № 9520/14.05.2019 г. срещу така постановеното разпореждане, по която е образувано настоящото частно производство пред ВКС, е процесуално допустима – подадена е в срок от процесуално легитимирано за това лице срещу подлежащ на обжалване акт на апелативния съд. В жалбата се излагат оплаквания за неправилност на обжалваното разпореждане. Поддържа се, че за определение № 805/05.03.2019 г. дружеството-жалбоподател узнало на 02.04.2019 г., както и че „призовката“ (съобщението с преписа за посоченото определение) не била връчена на представляващия дружеството-жалбоподател – Ж. С. Т., а на трето лице, което не е служител на дружеството и няма отношения с него, като третото лице не я е предало на представителя на жалбоподателя. В тази връзка от страна на последния е направено доказателствено искане за допускане на почеркова експертиза на подписа на Ж. С. Т., която след сравнение с подписа в „призовката“ с дата на получаване 13.03.2019 г. за дружеството-жалбоподател, да отговори, дали положеният там подпис е на Ж. С. Т.. </w:t>
        <w:tab/>
        <w:br/>
        <w:tab/>
        <w:t xml:space="preserve"> </w:t>
        <w:tab/>
        <w:br/>
        <w:tab/>
        <w:t xml:space="preserve">Ответниците по разглежданата частна жалба не са подали отговори на същата. </w:t>
        <w:tab/>
        <w:br/>
        <w:tab/>
        <w:t xml:space="preserve"> </w:t>
        <w:tab/>
        <w:br/>
        <w:tab/>
        <w:t xml:space="preserve">Видно от данните по частно гр. дело № 996/2019 г. по описа на САС, на лист 99 от същото се намира съобщение-разписка (съответно – лице и гръб), в която връчителят е удостоверил, че е връчил препис от определение № 805/05.03.2019 г. на 13.03.2019 г. на дружеството-жалбоподател чрез Ж. Т., посочен като „управител“ – срещу подпис на същия за „получател“. </w:t>
        <w:tab/>
        <w:br/>
        <w:tab/>
        <w:t xml:space="preserve"> </w:t>
        <w:tab/>
        <w:br/>
        <w:tab/>
        <w:t xml:space="preserve">За установяване автентичността/неавтентичността на този подпис, който жалбоподателят по същество оспорва, и за когото е тежестта за доказване на оспорването, са необходими специални знания, поради което, съгласно чл. 195, ал. 1 от ГПК следва да бъде допусната исканата от жалбоподателя съдебно-графологическа експертиза, чиято задача съдът уточнява, както е посочено в диспозитива на настоящото определение. Съгласно чл. 76 от ГПК, на жалбоподателя следва да бъдат дадени указания за внасяне по депозитната сметка на ВКС на сумата 200 лв. за разноски за възнаграждение на вещото лице. Вещото лице ще бъде назначено от съда след представяне от жалбоподателя на доказателства по делото за внасянето на посочената сума.</w:t>
        <w:tab/>
        <w:br/>
        <w:tab/>
        <w:t xml:space="preserve"> </w:t>
        <w:tab/>
        <w:br/>
        <w:tab/>
        <w:t xml:space="preserve">Мотивиран от гореизложеното, Върховният касационен съд, състав на Четвърто гражданско отделение </w:t>
        <w:tab/>
        <w:br/>
        <w:tab/>
        <w:t xml:space="preserve"> </w:t>
        <w:tab/>
        <w:br/>
        <w:tab/>
        <w:t xml:space="preserve">ОПРЕДЕЛИ: </w:t>
        <w:tab/>
        <w:br/>
        <w:tab/>
        <w:t xml:space="preserve"> </w:t>
        <w:tab/>
        <w:br/>
        <w:tab/>
        <w:t xml:space="preserve">ДОПУСКА изслушването на съдебно-графологическа експертиза, със задача: да даде заключение, положен ли е от Ж. С. Т. с ЕГН [ЕГН] подписът за „получател“ върху разписката с дата 13.03.2019 г., намираща се на гърба на съобщение с дата 06.03.2019 г. – лист 99 от частно гр. дело № 996/2019 г. по описа на Софийския апелативен съд.</w:t>
        <w:tab/>
        <w:br/>
        <w:tab/>
        <w:t xml:space="preserve"> </w:t>
        <w:tab/>
        <w:br/>
        <w:tab/>
        <w:t xml:space="preserve">УКАЗВА на жалбоподателя „Алфаком принт“ АД, че в негова тежест е да докаже оспорването на горния подпис, както и че в едноседмичен срок от връчването на препис от настоящото определение следва да представи по делото документ за внесена по депозитната сметка на Върховния касационен съд на сумата 200 лв. за разноски за възнаграждение на вещото лице, като при неизпълнение на тези указания в посочения срок частната му жалба ще бъде разгледана без събирането на допуснатата експертиза като доказателство по делото.</w:t>
        <w:tab/>
        <w:br/>
        <w:tab/>
        <w:t xml:space="preserve"> </w:t>
        <w:tab/>
        <w:br/>
        <w:tab/>
        <w:t xml:space="preserve">След представянето на горния документ, респ. – след изтичането на срока за това, делото да се докладва на съдия-докладчика за проверка изпълнението на дадените указания и за извършване на по-нататъшни съдопроизводствени действия.</w:t>
        <w:tab/>
        <w:br/>
        <w:tab/>
        <w:t xml:space="preserve"> </w:t>
        <w:tab/>
        <w:br/>
        <w:tab/>
        <w:t xml:space="preserve">Определението не подлежи на обжалване.</w:t>
        <w:tab/>
        <w:br/>
        <w:tab/>
        <w:t xml:space="preserve"> </w:t>
        <w:tab/>
        <w:br/>
        <w:tab/>
        <w:t xml:space="preserve">Препис от определението да се връчи на жалбоподателя. </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