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№153/13.05.2020 по ч.гр.д. №982/2020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153 </w:t>
        <w:tab/>
        <w:br/>
        <w:tab/>
        <w:t xml:space="preserve"> </w:t>
        <w:tab/>
        <w:br/>
        <w:tab/>
        <w:t xml:space="preserve">гр. София, 13.05.2020 г.</w:t>
        <w:tab/>
        <w:br/>
        <w:tab/>
        <w:t xml:space="preserve"> </w:t>
        <w:tab/>
        <w:br/>
        <w:tab/>
        <w:t xml:space="preserve"> В. К. С, Четвърто гражданско отделение, в закрито заседание на тридесети април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982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Образувано е по частна жалба, подадена от „Джорданс 2“ ООД със съдебен адрес в [населено място], подадена от процесуалния му представител адв.М. от САК срещу определение № 536 от 25.10.2019 г, постановено по ч. гр. дело № 353/2019 на Бургаски апелативен съд, Гражданско отделение, с което е оставена без разглеждане частната жалба, подадена от дружеството срещу определение № 256 от 5.3.2019 г по ч. гр. дело № 657/2009 г на Сливенски окръжен съд.С определението на първоинстанционния Сливенски окръжен съд е уважена молбата на Комисията за противодействие на корупцията и за отнемане на незаконно придобито имущество /КПКОНПИ/ с правно основание чл. 402 ал. 1 ГПК, като е отменено допуснатото в нейна полза обезпечение в частта, с която е наложена обецпечителна мярка „запор“ на товарен автомобил марка „Ситроен“, модел „Берлинго“.</w:t>
        <w:tab/>
        <w:br/>
        <w:tab/>
        <w:t xml:space="preserve"> </w:t>
        <w:tab/>
        <w:br/>
        <w:tab/>
        <w:t xml:space="preserve"> В частната жалба се подържа, че обжалваното определение е неправилно и незаконосъобразно, че подадената частна жалба срещу първоинстанционното определение е в срок, поради което незаконосъобразно е оставена без разглеждане като процесуално недопустима-просрочена.Иска се отмяната му и връщане на делото на Бургаски апелативен съд за произнасяне по частна жалба вх.№ 2908/3.5.2019 г по същество.</w:t>
        <w:tab/>
        <w:br/>
        <w:tab/>
        <w:t xml:space="preserve"> </w:t>
        <w:tab/>
        <w:br/>
        <w:tab/>
        <w:t xml:space="preserve"> Частната жалба, по която е образувано настоящото дело е подадена в законоустановения срок, от надлежна страна, срещу подлежащ на обжалване съдебен акт, поради което е процесуално допустима.Разгледана по същество е неоснователна.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 следното: С определение № 256 от 5.3.2019 г по ч. гр. дело № 657/2009 г Сливенски окръжен съд е уважил молбата на Комисията за противодействие на корупцията и за отнемане на незаконно придобито имущество /КПКОНПИ/ с правно основание чл. 402 ал. 1 ГПК като е отменил допуснатото в нейна полза обезпечение в частта, с която е наложена обецпечителна мярка „запор“ на товарен автомобил марка „Ситроен“, модел „Берлинго“.Това определение е редовно съобщено на „Джорданс 2“ ООД на 25.4.2019 г-факт, който не е спорен.От тази дата е започнал да тече едноседмичния срок, съгласно чл. 275 ал. 1 изр. 1 ГПК за обжалване на определението, като същият съгласно чл. 60 ал. 4 ГПК е изтекъл на 2.5.2019 г.Частната жалба срещу определението на Сливенски окръжен съд е подадена на 3.5.2019 г, следователно е просрочена.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намира, че обжалваното определение е правилно и законосъобразно и следва да бъде потвърдено.Частната жалба срещу определението на Сливенски окръжен съд, с което е уважена молбата по чл. 402 ал. 1 ГПК е подадена след изтичане на законоустановения срок по чл. 275 ал. 1 изр. 1 ГПК, поради което законосъобразно е оставена без разглеждане като недопустима.Липсват данни, твърдения и доказателства същата да е подадена по пощата или чрез куриерска фирма, следователно не е налице хиротазата на чл. 62 ал. 2 ГПК.</w:t>
        <w:tab/>
        <w:br/>
        <w:tab/>
        <w:t xml:space="preserve"> </w:t>
        <w:tab/>
        <w:br/>
        <w:tab/>
        <w:t xml:space="preserve"> Воден от гореизложените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536 от 25.10.2019 г, постановено по ч. гр. дело № 353/2019 на Бургаски апелативен съд, Гражданско отделение.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