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№341/21.07.2016 по ч. търг. д. №1591/2016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№341</w:t>
        <w:tab/>
        <w:br/>
        <w:tab/>
        <w:t xml:space="preserve"> </w:t>
        <w:tab/>
        <w:br/>
        <w:tab/>
        <w:t xml:space="preserve"> София, 21.07.2016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първи юли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1591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Т. Т. и Д. Д., действащи лично и със съгласието на баща си Т. Т. против Разпореждане от 19.05.2016г. по в. гр. д.№ 291/2015г. на АС Велико Търново, с което е върната като просрочена, на основание чл. 286, ал. 1, т. 1 ГПК касационната им жалба вх.№ 1373/24.03.2016г. /с пощенско клеймо от 23.03.2016г./ Въззивната инстанция е посочила, че препис от решението е връчено на жалбоподателите на 18.02.2016г. и едномесечният срок за обжалване по чл. 283 ГПК е изтекъл на 18.03.2016г. /присъствен ден/, а видно от пощенското клеймо жалбата е подадена на 23.03.2016г. и е просрочена.</w:t>
        <w:tab/>
        <w:br/>
        <w:tab/>
        <w:t xml:space="preserve"> </w:t>
        <w:tab/>
        <w:br/>
        <w:tab/>
        <w:t xml:space="preserve"> С частната жалба се иска отмяна на определението като неправилно. Касаторите считат, че след като решението е постановено на 15.02.2016г. „практически е невъзможно” само след три дни да са получили обявлението за решението на адреса си в [населено място]. Изразяват съмнение, че началото на срока е неправилно определен и намират, че касационната им жалба е подадена в срок.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Частната жалба е допустима, но е неоснователна. Обжалваното с касационна жалба решение е постановено на 15.02.2016г. На същата дата е изпратен препис от решението на Т. Т. и Д. Д. чрез пълномощника им адв.Б. от АК Л., който лично е удостоверил получаването на 18.02.2016г. Тези изводи са основани на удостовереното в официалния свидетелстващ документ на връчителя - съобщения на л. 43 и 44 от материалите по делото на апелативния съд. Касационната жалба е изпратена по пощата на 23.03.2016г., поради което изводът, че срокът по чл. 283, изр. първо ГПК, не е спазен е правилен и законосъобразно е приложена разпоредбата на чл. 286, ал. 1, т. 1 ГПК 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 от 19.05.2016г. по в. гр. д.№ 291/2015г. на АС Велико Търново, с което е върната като просрочена, на основание чл. 286, ал. 1, т. 1 ГПК, касационна жалба вх.№ 1373/24.03.2016г.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