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№279/22.07.2011 по гр. д. №308/2011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четиринадесети юни </w:t>
        <w:tab/>
        <w:br/>
        <w:tab/>
        <w:t xml:space="preserve"> </w:t>
        <w:tab/>
        <w:br/>
        <w:tab/>
        <w:t xml:space="preserve">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308/2011 година</w:t>
        <w:tab/>
        <w:br/>
        <w:tab/>
        <w:t xml:space="preserve"> </w:t>
        <w:tab/>
        <w:br/>
        <w:tab/>
        <w:t xml:space="preserve"> С молба, с вх.№ 4507/13.05.2011 год. касаторите И. И. Ц. и М. В. И. от [населено място] са поискали връщане на погрешно внесена държавна такса за производството по чл. 288 ГПК, в размер на 133 лева, извън дължимата се държавна такса от 30 лева, по сметката на ВКС на РБ. Посочили са банкова сметка, по която да им бъде върната. При направената справка в счетоводството на ВКС на РБ се установява, че сумата от 133 лева е постъпила по сметката държавни такси на ВКС, на 22.06.2010 год., с вносител Д. В. Ф., починала на 19.08.2010 год., респ. на наследника й В. Д. Ф., затова молбата следва да се уважи, тъй като за касационното производство по чл. 288 ГПК е постъпила вносна бележка за внесена на дължимата се държавна такса от 30 лева, на 07.03.2011 год. по сметката на ВКС, ето защо</w:t>
        <w:tab/>
        <w:br/>
        <w:tab/>
        <w:t xml:space="preserve"> </w:t>
        <w:tab/>
        <w:br/>
        <w:tab/>
        <w:t xml:space="preserve">ОПРЕДЕЛИ:</w:t>
        <w:tab/>
        <w:br/>
        <w:tab/>
        <w:t xml:space="preserve"> </w:t>
        <w:tab/>
        <w:br/>
        <w:tab/>
        <w:t xml:space="preserve">ВРЪЩА </w:t>
        <w:tab/>
        <w:br/>
        <w:tab/>
        <w:t xml:space="preserve"> </w:t>
        <w:tab/>
        <w:br/>
        <w:tab/>
        <w:t xml:space="preserve">недължимо внесената държавна такса, в размер на 133 лева, по сметката държавни такси на ВКС, на 22.06.2010 год. с вносител Д. В. Ф., починала, респ. на наследника й В. Д. Ф. ЕГН [ЕГН] с посочена банкова сметка [фирма]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