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№5002/07.02.2023 по търг. д. №330/2021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50023</w:t>
        <w:tab/>
        <w:br/>
        <w:tab/>
        <w:t xml:space="preserve"/>
        <w:tab/>
        <w:br/>
        <w:tab/>
        <w:t xml:space="preserve">гр. София, 07.02.2023год.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седми февруари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К. Н т. д. N 330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Върховният касационен съд, като взе предвид, че на 07 февруари 2023 г. по настоящото дело е отправено преюдициално запитване до Съда на Европейския съюз, намира, че на основание чл. 631, ал. 1 ГПК, производството по делото следва да бъде спряно до приключване на производството по преюдициалното запитване.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СПИРА, на основание чл. 631, ал. 1 ГПК, производството по търговско дело № 330/2021 г. на ВКС, Второ търговско отделение, до приключване на производството по отправеното на 07.02.2023г. по това дело преюдициално запитване до Съда на Европейския съюз.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ПРЕПИС от настоящото определение, от преюдициалното запитване от 07.02.2023г., от определение № 50019 от 02.02.2023г., както и от определението по чл. 247 ГПК, всички постановени по т. д. № 330/2021г. на ВКС, Второ търговско отделение, да се изпратят на страните по него.ПРЕДСЕДАТЕЛ: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