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№215/26.05.2011 по ч.гр.д. №103/2011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215</w:t>
        <w:tab/>
        <w:br/>
        <w:tab/>
        <w:t xml:space="preserve"/>
        <w:tab/>
        <w:br/>
        <w:tab/>
        <w:t xml:space="preserve"> С., 26.05.2011,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ч. гр. д.№103/2011г. по описа на Върховния касационен съд, състав на първо гражданско отделение, за да се произнесе, взе предвид следното::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вр. чл. 274, ал. 1, т. 1 от ГПК.</w:t>
        <w:tab/>
        <w:br/>
        <w:tab/>
        <w:t xml:space="preserve"> </w:t>
        <w:tab/>
        <w:br/>
        <w:tab/>
        <w:t xml:space="preserve"> С определение №178 от 21.01.2011г. по ч. гр. д.№57/2011г. на Бургаския окръжен съд е оставена без разглеждане частната жалба на Е. М. Д. против отказа на съдията по вписванията да впише възбрана върху недвижим имот. </w:t>
        <w:tab/>
        <w:br/>
        <w:tab/>
        <w:t xml:space="preserve"> </w:t>
        <w:tab/>
        <w:br/>
        <w:tab/>
        <w:t xml:space="preserve"> Окръжният съд е приел, че производството по налагане на обезпечителна мярка възбрана е охранително, в него инициатор и единствена страна е съдебният изпълнител, тъй като само той е оправомощен от чл. 26 от ПВ да отправи такова искане. Производството по вписването на възбрана не е част от изпълнителния процес, затова и страните по изпълнението не са страни в това производство и не са легитимирани да обжалват отказа на съдията по вписванията. По тази причина подадената от взискателя Е. Д. частна жалба срещу отказа да се впише възбрана върху имота на длъжника е процесуално недопустима. </w:t>
        <w:tab/>
        <w:br/>
        <w:tab/>
        <w:t xml:space="preserve"> </w:t>
        <w:tab/>
        <w:br/>
        <w:tab/>
        <w:t xml:space="preserve"> В частната жалба на взискателя Е. Д. се поддържа, че производството по вписване на възбрана е охранително и по аргумент от чл. 577, вр. чл. 572 от ГПК, страна по него е лицето, от чието име се извършва действието – т. е. взискателят, а не съдебният изпълнител.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частната жалба е процесуално допустима, а разгледана по същество – основателна. </w:t>
        <w:tab/>
        <w:br/>
        <w:tab/>
        <w:t xml:space="preserve"> </w:t>
        <w:tab/>
        <w:br/>
        <w:tab/>
        <w:t xml:space="preserve"> Производството по вписване на възбрана е охранително. Съгласно общото правило на чл. 531 от ГПК, то започва с писмена молба от заинтересованото лице. Заинтересовано лице от своя страна е това лице, от чието име се иска извършване на действието – арг. от чл. 572 от ГПК, който определя страните в нотариалното производство, но следва да бъде прилаган и за всяко друго охранитено производство. Вярно е, че съгласно чл. 26 от ПВ, възбраната върху недвижим имот, върху който е обърнато взискването, се вписва по искане на съдия изпълнителя, но това не го прави заинтересовано лице по смисъла на чл. 531 от ГПК. Такова лице е взискателят, от чието име се прави искането за вписване на възбрана, съответно – взискателят е процесуално легитимиран да обжалва отказа на съдията по вписванията. В същия смисъл е и определение №56 от 14.02.2011г. по ч. гр. д.14/2011г. на ВКС, II ГО.</w:t>
        <w:tab/>
        <w:br/>
        <w:tab/>
        <w:t xml:space="preserve"/>
        <w:tab/>
        <w:br/>
        <w:tab/>
        <w:t xml:space="preserve">Водим от изложеното,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№178 от 21.01.2011г. по ч. гр. д.№57/2011г. на Бургаския окръжен съд.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същия съд за постановяване на определение по съществото на частната жалба.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