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№635/03.10.2012 по търг. д. №1074/2011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635</w:t>
        <w:tab/>
        <w:br/>
        <w:tab/>
        <w:t xml:space="preserve"> </w:t>
        <w:tab/>
        <w:br/>
        <w:tab/>
        <w:t xml:space="preserve">Гр.София, 03.10.2012г.</w:t>
        <w:tab/>
        <w:br/>
        <w:tab/>
        <w:t xml:space="preserve"> </w:t>
        <w:tab/>
        <w:br/>
        <w:tab/>
        <w:t xml:space="preserve">ВЪРХОВНИЯТ КАСАЦИОНЕН СЪД на Република България, Търговска колегия, І отделение, в закрито заседание на двадесети септември през две хиляди и дванадесета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w:t>
        <w:tab/>
        <w:br/>
        <w:tab/>
        <w:t xml:space="preserve"> </w:t>
        <w:tab/>
        <w:br/>
        <w:tab/>
        <w:t xml:space="preserve">при секретаря …………………, след като изслуша докладваното от съдия Калчева, т. д.№ 1074 по описа за 2011г.,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335/30.06.2011г., постановено по в. т.д.№ 341/11г. от Пловдивския апелативен съд, с което е отменено решение № 105/17.12.2010г. по т. д.№ 62/10г. на Пазарджишкия окръжен съд и е отхвърлен искът на касатора против [фирма], [населено място] за признаване за установено съществуването на вземане на основание запис на заповед от 29.02.2008г. за сумата от 105000 лв.</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ГПК.</w:t>
        <w:tab/>
        <w:br/>
        <w:tab/>
        <w:t xml:space="preserve"> </w:t>
        <w:tab/>
        <w:br/>
        <w:tab/>
        <w:t xml:space="preserve"> Ответникът [фирма], [населено място] оспорва жалбата.</w:t>
        <w:tab/>
        <w:br/>
        <w:tab/>
        <w:t xml:space="preserve"> </w:t>
        <w:tab/>
        <w:br/>
        <w:tab/>
        <w:t xml:space="preserve"> Върховният касационен съд, Търговска колегия, І отделение, след като разгледа жалбата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представеният запис на заповед е издаден в нарушение на чл. 535, т. 2 ТЗ, което прави ценната книга недействителна. Изложени са съображения, че отметката в записа на заповед за издаването му като обезпечение на договор за доставка на месо от 01.11.2004г., следва да се тълкува в смисъл, че посочената сума се дължи, ако не е извършено плащане по каузалната сделка. Това отбелязване е определено като условие за плащането, имащо за последица негодност на менителничния ефект.</w:t>
        <w:tab/>
        <w:br/>
        <w:tab/>
        <w:t xml:space="preserve"> </w:t>
        <w:tab/>
        <w:br/>
        <w:tab/>
        <w:t xml:space="preserve"> Според касатора въззивното решение е постановено в противоречие с практиката на ВКС по въпроса дали, когато записът на заповед съдържа реквизитите по чл. 535 ТЗ, но и изявление по каузалното материално правоотношение, е редовен от външна страна. Сочи определение № 578/16.07.2010г. по ч. т.д.№ 517/10г. на ВКС, ІІ т. о. и ТР № 1/2005г. на ОСТК на ВКС.</w:t>
        <w:tab/>
        <w:br/>
        <w:tab/>
        <w:t xml:space="preserve"> </w:t>
        <w:tab/>
        <w:br/>
        <w:tab/>
        <w:t xml:space="preserve"> Настоящият състав на ВКС, ТК, І отд. намира, че са налице основанията за допускане на касационното обжалване.</w:t>
        <w:tab/>
        <w:br/>
        <w:tab/>
        <w:t xml:space="preserve"> </w:t>
        <w:tab/>
        <w:br/>
        <w:tab/>
        <w:t xml:space="preserve"> В ТР № 1/2005г. на ОСТК на ВКС е прието, че за пораждане на действието на поетото задължение за плащане на определена парична сума е достатъчно в документа да не е посочено условие за задължаването на издателя на запис на заповед. С определение № 578/16.07.2010г. ВКС не е допуснал касационно обжалване на въззивно определение за издаване на заповед за изпълнение въз основа на запис на заповед, поради което същото няма характер на задължителна за съдилищата практика на ВКС съгласно т. 2 на ТР №1/19.02.2010г. на ОСГТК на ВКС. В определението е възпроизведено приетото разрешение от окръжния съд, че факултативните изявления за издателя на запис на заповед относно каузалните отношения, не нарушават безусловността на менителничният ефект. </w:t>
        <w:tab/>
        <w:br/>
        <w:tab/>
        <w:t xml:space="preserve"> </w:t>
        <w:tab/>
        <w:br/>
        <w:tab/>
        <w:t xml:space="preserve"> В този смисъл, поставеният от касатора правен въпрос е от значение за изхода от спора. Дадените разрешения в ТР №1/2005г. относно безусловността на поетото задължение за плащане следва да се съпоставят с изявлението на издателя относно причината за издаване на менителничното задължение, като се отговори на въпроса </w:t>
        <w:tab/>
        <w:br/>
        <w:tab/>
        <w:t xml:space="preserve"> </w:t>
        <w:tab/>
        <w:br/>
        <w:tab/>
        <w:t xml:space="preserve">дали посочването в записа на заповед, че същият се издава като обезпечение на договор между издателя и поемателя, следва да се тълкува като поставено условие за пораждане на задължението по ценната книга.</w:t>
        <w:tab/>
        <w:br/>
        <w:tab/>
        <w:t xml:space="preserve"> </w:t>
        <w:tab/>
        <w:br/>
        <w:tab/>
        <w:t xml:space="preserve">На основание чл. 18, ал. 1, т. 2 от Т. по ГПК касаторът следва да внесе държавна такса в размер на 2100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ДОПУСКА</w:t>
        <w:tab/>
        <w:br/>
        <w:tab/>
        <w:t xml:space="preserve"> </w:t>
        <w:tab/>
        <w:br/>
        <w:tab/>
        <w:t xml:space="preserve"> касационно обжалване на въззивно решение № 335/30.06.2011г., постановено по в. т.д.№ 341/11г. от Пловдивския апелативен съд </w:t>
        <w:tab/>
        <w:br/>
        <w:tab/>
        <w:t xml:space="preserve"/>
        <w:tab/>
        <w:br/>
        <w:tab/>
        <w:t xml:space="preserve">УКАЗВА</w:t>
        <w:tab/>
        <w:br/>
        <w:tab/>
        <w:t xml:space="preserve"> </w:t>
        <w:tab/>
        <w:br/>
        <w:tab/>
        <w:t xml:space="preserve"> на касатора [фирма], [населено място]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2100 лв., като в противен случай производството по делото ще бъде прекратено.</w:t>
        <w:tab/>
        <w:br/>
        <w:tab/>
        <w:t xml:space="preserve"> </w:t>
        <w:tab/>
        <w:br/>
        <w:tab/>
        <w:t xml:space="preserve"> 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