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№275/10.08.2012 по гр. д. №1503/2010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: </w:t>
        <w:tab/>
        <w:br/>
        <w:tab/>
        <w:t xml:space="preserve"/>
        <w:tab/>
        <w:br/>
        <w:tab/>
        <w:t xml:space="preserve"> № 275</w:t>
        <w:tab/>
        <w:br/>
        <w:tab/>
        <w:t xml:space="preserve"> </w:t>
        <w:tab/>
        <w:br/>
        <w:tab/>
        <w:t xml:space="preserve"> София, 10.08. 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седми август две хиляди и дванадесета година в състав:</w:t>
        <w:tab/>
        <w:br/>
        <w:tab/>
        <w:t xml:space="preserve"/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МИМИ</w:t>
        <w:tab/>
        <w:br/>
        <w:tab/>
        <w:t xml:space="preserve"/>
        <w:tab/>
        <w:br/>
        <w:tab/>
        <w:t xml:space="preserve">ФУРНАДЖИЕВА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 1503 по описа за 2010 год.</w:t>
        <w:tab/>
        <w:br/>
        <w:tab/>
        <w:t xml:space="preserve"> </w:t>
        <w:tab/>
        <w:br/>
        <w:tab/>
        <w:t xml:space="preserve"> Производството е по чл. 247 ГПК.</w:t>
        <w:tab/>
        <w:br/>
        <w:tab/>
        <w:t xml:space="preserve"> </w:t>
        <w:tab/>
        <w:br/>
        <w:tab/>
        <w:t xml:space="preserve"> Образувано е по молба на Министерство на външните работи за поправка на очевидна фактическа грешка в постановеното касационно решение, изразяваща се в погрешно посочване на присъдените суми с обжалваната част на въззивното решение.</w:t>
        <w:tab/>
        <w:br/>
        <w:tab/>
        <w:t xml:space="preserve"> </w:t>
        <w:tab/>
        <w:br/>
        <w:tab/>
        <w:t xml:space="preserve"> Не е постъпил отговор от ответниците И. Л. Х. и П. А. Х..</w:t>
        <w:tab/>
        <w:br/>
        <w:tab/>
        <w:t xml:space="preserve"> </w:t>
        <w:tab/>
        <w:br/>
        <w:tab/>
        <w:t xml:space="preserve"> Молбата е допустима и основателна.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и допуснато по касационна жалба на Министерство на външните работи срещу решение от 01.07.2010г., постановено по гр. д.№1436/2009г. на Софийски апелативен съд, в частта, с която е оставено в сила решение от 08.03.2004г. по гр. д.№987/2004г. на Софийски градски съд за уважаване на предявените от И. Л. Х. и П. А. Х. срещу Министерство на външните работи искове за заплащане на част от исковата сума, представляваща част от получения в периода 1.11.1997 г. – 11. 07. 2001 г. наем за собствения на ищците имот, ведно със законната лихва върху тази сума считано от 11. 07. 2001 г. до окончателното й изплащане и за частично уважаване на иска с правно основание чл. 86 ЗЗД за заплащане на обезщетение за забавено плащане на главницата.</w:t>
        <w:tab/>
        <w:br/>
        <w:tab/>
        <w:t xml:space="preserve"> </w:t>
        <w:tab/>
        <w:br/>
        <w:tab/>
        <w:t xml:space="preserve"> С въззивното решение първоинстанционното решение е потвърдено за гланицата до размера 25245щ. д. и за обезщетението за забавено плащане – до размера 11872, 65щ. д. В останалата част до размерите съответно – за главницата до сумата 47872, 65щ. д. и за обезщетението за забавено плащане до сумата 22521, 57щ. д. исковете са отхвърлени с въззивното решение след частична отмяна на първоинстанционното решение, в частта, с която за тези размери исковете са уважени.</w:t>
        <w:tab/>
        <w:br/>
        <w:tab/>
        <w:t xml:space="preserve"> </w:t>
        <w:tab/>
        <w:br/>
        <w:tab/>
        <w:t xml:space="preserve"> Погрешно в касационното решение е посочено, че обжалваната част се отнася до размерите съответно – за главницата до сумата 47872, 65щ. д. и за обезщетението за забавено плащане до сумата 22521, 57щ. д., вместо до размерите съответно – за главницата до размера 25245щ. д. и за обезщетението за забавено плащане – до размера 11872, 65щ. д.</w:t>
        <w:tab/>
        <w:br/>
        <w:tab/>
        <w:t xml:space="preserve"> </w:t>
        <w:tab/>
        <w:br/>
        <w:tab/>
        <w:t xml:space="preserve"> Налице са условията на чл. 247 ГПК за поправка на допуснатите очевидни фактически грешки в постановения съдебен акт относно сумите на претенциите, за които осъдителното първоинстанионно решение е потвърдено с обжалваната част от въззивното решение по спора..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ДОПУСКА поправка на очевидни фактически грешки в решение №290 от 11.11.2011г. по гр. д.№1503/2010г. на Върховния касационен съд, ІІІг. о. в диспозитива на решението и в мотивите на страница първа от решението, изразяващи се в следното: след израза „</w:t>
        <w:tab/>
        <w:br/>
        <w:tab/>
        <w:t xml:space="preserve"> </w:t>
        <w:tab/>
        <w:br/>
        <w:tab/>
        <w:t xml:space="preserve">за заплащане на сумата</w:t>
        <w:tab/>
        <w:br/>
        <w:tab/>
        <w:t xml:space="preserve"> </w:t>
        <w:tab/>
        <w:br/>
        <w:tab/>
        <w:t xml:space="preserve">” и преди израза „</w:t>
        <w:tab/>
        <w:br/>
        <w:tab/>
        <w:t xml:space="preserve"> </w:t>
        <w:tab/>
        <w:br/>
        <w:tab/>
        <w:t xml:space="preserve">представляваща част от получения през периода 1.11.1997г.-11.07.2001г. наем</w:t>
        <w:tab/>
        <w:br/>
        <w:tab/>
        <w:t xml:space="preserve"> </w:t>
        <w:tab/>
        <w:br/>
        <w:tab/>
        <w:t xml:space="preserve">” вместо израза „47559щ. д.” да се чете изразът „</w:t>
        <w:tab/>
        <w:br/>
        <w:tab/>
        <w:t xml:space="preserve"> </w:t>
        <w:tab/>
        <w:br/>
        <w:tab/>
        <w:t xml:space="preserve">25245щ. д.</w:t>
        <w:tab/>
        <w:br/>
        <w:tab/>
        <w:t xml:space="preserve"> </w:t>
        <w:tab/>
        <w:br/>
        <w:tab/>
        <w:t xml:space="preserve">”; след израза „ </w:t>
        <w:tab/>
        <w:br/>
        <w:tab/>
        <w:t xml:space="preserve"> </w:t>
        <w:tab/>
        <w:br/>
        <w:tab/>
        <w:t xml:space="preserve">и на основание чл. 86 ЗЗД</w:t>
        <w:tab/>
        <w:br/>
        <w:tab/>
        <w:t xml:space="preserve"> </w:t>
        <w:tab/>
        <w:br/>
        <w:tab/>
        <w:t xml:space="preserve">” вместо израза „22521, 57щ. д.” се чете изразът „</w:t>
        <w:tab/>
        <w:br/>
        <w:tab/>
        <w:t xml:space="preserve"> </w:t>
        <w:tab/>
        <w:br/>
        <w:tab/>
        <w:t xml:space="preserve">11872, 65щ. д.</w:t>
        <w:tab/>
        <w:br/>
        <w:tab/>
        <w:t xml:space="preserve"> </w:t>
        <w:tab/>
        <w:br/>
        <w:tab/>
        <w:t xml:space="preserve">”.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