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№118/26.03.2014 по гр. д. №357/2014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разгледа докладваното от съдия Диана Хитова гр. дело N357/2014 г. и за да се произнесе, съобрази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от А. „М.”, представлявана от процесуален представител юрисконсулт в М. С. Ж.. срещу решение № 405/ 25.10.2013 г. по гр. д.№472/ 2013 г. на Хасковския окръжен съд.</w:t>
        <w:tab/>
        <w:br/>
        <w:tab/>
        <w:t xml:space="preserve"/>
        <w:tab/>
        <w:br/>
        <w:tab/>
        <w:t xml:space="preserve">Настоящият състав намира, че изходът на спора зависи от разрешението на поставения за разглеждане по ТР № 2 /2014 г. на ОСГТК въпрос, а именно:</w:t>
        <w:tab/>
        <w:br/>
        <w:tab/>
        <w:t xml:space="preserve"> </w:t>
        <w:tab/>
        <w:br/>
        <w:tab/>
        <w:t xml:space="preserve"> Обусловено ли е по смисъла на чл. 229, ал. 1, т. 4 ГПК висящото гражданско дело, спорът по което е пряко свързан с приложението на подзаконов нормативен акт, от административното дело, образувано по оспорване на същия, с искане да бъде обявен за нищожен или отменен. </w:t>
        <w:tab/>
        <w:br/>
        <w:tab/>
        <w:t xml:space="preserve"/>
        <w:tab/>
        <w:br/>
        <w:tab/>
        <w:t xml:space="preserve"> На основание чл. 292 ГПК производството по делото следва да бъде спряно, до произнасянето на посоченото ТР.</w:t>
        <w:tab/>
        <w:br/>
        <w:tab/>
        <w:t xml:space="preserve"/>
        <w:tab/>
        <w:br/>
        <w:tab/>
        <w:t xml:space="preserve"> По изложените съображения ВКС, състав на ІІІ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</w:t>
        <w:tab/>
        <w:br/>
        <w:tab/>
        <w:t xml:space="preserve"> </w:t>
        <w:tab/>
        <w:br/>
        <w:tab/>
        <w:t xml:space="preserve"> производството по гр. д.№ 367/2014 г., ІІІ г. о., до приемане на ТР № 2/2014 г. на ОСГТК на ВКС.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