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№23/19.05.2021 по гр. д. №39/2017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</w:t>
        <w:tab/>
        <w:br/>
        <w:tab/>
        <w:t xml:space="preserve"> </w:t>
        <w:tab/>
        <w:br/>
        <w:tab/>
        <w:t xml:space="preserve">гр. София, 19.05.2021 година</w:t>
        <w:tab/>
        <w:br/>
        <w:tab/>
        <w:t xml:space="preserve"> </w:t>
        <w:tab/>
        <w:br/>
        <w:tab/>
        <w:t xml:space="preserve">Пет - членен състав на ВКС и ВАС в закрито съдебно заседание на</w:t>
        <w:tab/>
        <w:br/>
        <w:tab/>
        <w:t xml:space="preserve"> </w:t>
        <w:tab/>
        <w:br/>
        <w:tab/>
        <w:t xml:space="preserve">тринадесети май през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С. Ч</w:t>
        <w:tab/>
        <w:br/>
        <w:tab/>
        <w:t xml:space="preserve"> </w:t>
        <w:tab/>
        <w:br/>
        <w:tab/>
        <w:t xml:space="preserve">Членове: К. Х</w:t>
        <w:tab/>
        <w:br/>
        <w:tab/>
        <w:t xml:space="preserve"> </w:t>
        <w:tab/>
        <w:br/>
        <w:tab/>
        <w:t xml:space="preserve">А. Ц</w:t>
        <w:tab/>
        <w:br/>
        <w:tab/>
        <w:t xml:space="preserve"> </w:t>
        <w:tab/>
        <w:br/>
        <w:tab/>
        <w:t xml:space="preserve">С. С</w:t>
        <w:tab/>
        <w:br/>
        <w:tab/>
        <w:t xml:space="preserve"> </w:t>
        <w:tab/>
        <w:br/>
        <w:tab/>
        <w:t xml:space="preserve">Ф. В</w:t>
        <w:tab/>
        <w:br/>
        <w:tab/>
        <w:t xml:space="preserve"> </w:t>
        <w:tab/>
        <w:br/>
        <w:tab/>
        <w:t xml:space="preserve">изслуша докладваното от съдията А. Ц гр. д. № 39/17 г. и за да</w:t>
        <w:tab/>
        <w:br/>
        <w:tab/>
        <w:t xml:space="preserve"> </w:t>
        <w:tab/>
        <w:br/>
        <w:tab/>
        <w:t xml:space="preserve">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АПК и е образувано за разрешаване на спор за подсъдност между Софийски районен съд и Административен съд гр.София.</w:t>
        <w:tab/>
        <w:br/>
        <w:tab/>
        <w:t xml:space="preserve"> </w:t>
        <w:tab/>
        <w:br/>
        <w:tab/>
        <w:t xml:space="preserve">Спорът между съдилищата е възникнал относно предявен иск от</w:t>
        <w:tab/>
        <w:br/>
        <w:tab/>
        <w:t xml:space="preserve"> </w:t>
        <w:tab/>
        <w:br/>
        <w:tab/>
        <w:t xml:space="preserve">„Мултиплекс“ЕООД срещу БНБ за плащане на обезщетение за причинени имуществени вреди. В обстоятелствената част на иска, ищецът твърди, че</w:t>
        <w:tab/>
        <w:br/>
        <w:tab/>
        <w:t xml:space="preserve"> </w:t>
        <w:tab/>
        <w:br/>
        <w:tab/>
        <w:t xml:space="preserve">гарантираният му влог в КТБ АД е бил платен със закъснение в нарушение на Директива на Европейския парламент, поради което са му причинени</w:t>
        <w:tab/>
        <w:br/>
        <w:tab/>
        <w:t xml:space="preserve"> </w:t>
        <w:tab/>
        <w:br/>
        <w:tab/>
        <w:t xml:space="preserve">вреди в размер на законната лихва върху гарантирания влог за периода на</w:t>
        <w:tab/>
        <w:br/>
        <w:tab/>
        <w:t xml:space="preserve"> </w:t>
        <w:tab/>
        <w:br/>
        <w:tab/>
        <w:t xml:space="preserve">забавата, което представлява сумата от 8627, 97лв. върху главницата от 196000лв. за периода от 30.06.2014г. до 04.14.2014г. АССГ е приел, че искът</w:t>
        <w:tab/>
        <w:br/>
        <w:tab/>
        <w:t xml:space="preserve"> </w:t>
        <w:tab/>
        <w:br/>
        <w:tab/>
        <w:t xml:space="preserve">за вреди от забавено плащане следва да се разреши от гражданския съд. </w:t>
        <w:tab/>
        <w:br/>
        <w:tab/>
        <w:t xml:space="preserve"> </w:t>
        <w:tab/>
        <w:br/>
        <w:tab/>
        <w:t xml:space="preserve">От друга страна СРС е приел, че обезщетението за вреди от забава на плащане от Фонда за гарантиране на влоговете в банките се претендира от БНБ</w:t>
        <w:tab/>
        <w:br/>
        <w:tab/>
        <w:t xml:space="preserve"> </w:t>
        <w:tab/>
        <w:br/>
        <w:tab/>
        <w:t xml:space="preserve">поради бездействие на административен орган и компетентен да разгледа спора е административният съд.</w:t>
        <w:tab/>
        <w:br/>
        <w:tab/>
        <w:t xml:space="preserve"> </w:t>
        <w:tab/>
        <w:br/>
        <w:tab/>
        <w:t xml:space="preserve">Производството по чл. 135, ал. 4 АПК е било спряно заради образувано т. д. № 2/2015 г. на ОСГТК на ВКС и Първа и Втора колегии на ВАС.</w:t>
        <w:tab/>
        <w:br/>
        <w:tab/>
        <w:t xml:space="preserve"> </w:t>
        <w:tab/>
        <w:br/>
        <w:tab/>
        <w:t xml:space="preserve">Тълкувателното дело е приключило с определение №1/21г. за отклоняване искането за приемане на съвместно тълкувателно постановление между</w:t>
        <w:tab/>
        <w:br/>
        <w:tab/>
        <w:t xml:space="preserve"> </w:t>
        <w:tab/>
        <w:br/>
        <w:tab/>
        <w:t xml:space="preserve">ОСГТК на ВКС и Първа и Втора колегии на ВАС, поради което</w:t>
        <w:tab/>
        <w:br/>
        <w:tab/>
        <w:t xml:space="preserve"> </w:t>
        <w:tab/>
        <w:br/>
        <w:tab/>
        <w:t xml:space="preserve">производството по чл. 135, ал. 4 АПК следва да се възобнови.</w:t>
        <w:tab/>
        <w:br/>
        <w:tab/>
        <w:t xml:space="preserve"> </w:t>
        <w:tab/>
        <w:br/>
        <w:tab/>
        <w:t xml:space="preserve">Н. П състав на ВКС и ВАС счита, че компетентен</w:t>
        <w:tab/>
        <w:br/>
        <w:tab/>
        <w:t xml:space="preserve"> </w:t>
        <w:tab/>
        <w:br/>
        <w:tab/>
        <w:t xml:space="preserve">да разгледа делото е АССГ по следните съображения. Претендират се вреди</w:t>
        <w:tab/>
        <w:br/>
        <w:tab/>
        <w:t xml:space="preserve"> </w:t>
        <w:tab/>
        <w:br/>
        <w:tab/>
        <w:t xml:space="preserve">от забавено плащане на ФГВБ, но съгласно чл. 4, ал. 13 от ЗГВБ Фондът не</w:t>
        <w:tab/>
        <w:br/>
        <w:tab/>
        <w:t xml:space="preserve"> </w:t>
        <w:tab/>
        <w:br/>
        <w:tab/>
        <w:t xml:space="preserve">носи отговорност за вреди при упражняване на своите правомощия, т. е.</w:t>
        <w:tab/>
        <w:br/>
        <w:tab/>
        <w:t xml:space="preserve"> </w:t>
        <w:tab/>
        <w:br/>
        <w:tab/>
        <w:t xml:space="preserve">ищецът няма вземане за лихва за забава към ФГВБ.Стелно вземането за лихва в размер на 8627, 97лв. върху главницата от 196000лв. за периода от</w:t>
        <w:tab/>
        <w:br/>
        <w:tab/>
        <w:t xml:space="preserve"> </w:t>
        <w:tab/>
        <w:br/>
        <w:tab/>
        <w:t xml:space="preserve">30.06.2014г. до 04.14.2014г. е вземане към КТБ (н), доколкото главницата е</w:t>
        <w:tab/>
        <w:br/>
        <w:tab/>
        <w:t xml:space="preserve"> </w:t>
        <w:tab/>
        <w:br/>
        <w:tab/>
        <w:t xml:space="preserve">изплатена от Фонда заради отнетия лиценз на КТБ(н). Тъй като ищецът претендира обезщетение от БНБ за незаконно бездействие на</w:t>
        <w:tab/>
        <w:br/>
        <w:tab/>
        <w:t xml:space="preserve"> </w:t>
        <w:tab/>
        <w:br/>
        <w:tab/>
        <w:t xml:space="preserve">административен орган в размер на останалото му неплатено вземане от КТБ (н), а в това останало вземане е включено и вземането за лихвата от</w:t>
        <w:tab/>
        <w:br/>
        <w:tab/>
        <w:t xml:space="preserve"> </w:t>
        <w:tab/>
        <w:br/>
        <w:tab/>
        <w:t xml:space="preserve">8627, 97лв., то компетентен да се произнесе по спора е АССГ.</w:t>
        <w:tab/>
        <w:br/>
        <w:tab/>
        <w:t xml:space="preserve"> </w:t>
        <w:tab/>
        <w:br/>
        <w:tab/>
        <w:t xml:space="preserve">По изложените съображения 5- членният състав на ВКС и ВАС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гр. д. № 39/17 г. на Петчленен състав на ВКС и ВАС.</w:t>
        <w:tab/>
        <w:br/>
        <w:tab/>
        <w:t xml:space="preserve"> </w:t>
        <w:tab/>
        <w:br/>
        <w:tab/>
        <w:t xml:space="preserve">Компетентен да се произнесе по иска е АССГ и му изпраща делото по подсъдност.</w:t>
        <w:tab/>
        <w:br/>
        <w:tab/>
        <w:t xml:space="preserve"> </w:t>
        <w:tab/>
        <w:br/>
        <w:tab/>
        <w:t xml:space="preserve">Определението не подлежи на обжалване.ПРЕДСЕДАТЕЛ:</w:t>
        <w:tab/>
        <w:br/>
        <w:tab/>
        <w:t xml:space="preserve"> </w:t>
        <w:tab/>
        <w:br/>
        <w:tab/>
        <w:t xml:space="preserve">ЧЛЕНОВЕ:1.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