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№734/16.12.2019 по търг. д. №2949/2019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734</w:t>
        <w:tab/>
        <w:br/>
        <w:tab/>
        <w:t xml:space="preserve"> </w:t>
        <w:tab/>
        <w:br/>
        <w:tab/>
        <w:t xml:space="preserve">гр. София, 16.12.2019г. ВЪРХОВЕН КАСАЦИОНЕН СЪД на Р. Б, Търговска колегия, Второ отделение, в закрито заседание на шестнадесети декември през две хиляди и деветнадесета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ч. т. д. N 2949 по описа за 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282, ал. 2 ГПК.</w:t>
        <w:tab/>
        <w:br/>
        <w:tab/>
        <w:t xml:space="preserve"> </w:t>
        <w:tab/>
        <w:br/>
        <w:tab/>
        <w:t xml:space="preserve"> Образувано е по молба на ЗАД „АРМЕЕЦ” АД, [населено място] за спиране по реда на чл. 282, ал. 2 ГПК на изпълнението на невлязло в сила осъдително въззивно решение № 2719 от 06.12.2019г. по в. т. д. № 4571/2019г. на Софийски апелативен съд, Търговска колегия, 15 състав. Решаващият въззивен състав е потвърдил решение № 1258 от 10.07.2019г. по т. д. № 1533/2018г. на Софийски градски съд в частта, с която дружеството-молител е осъдено да заплати на „Рилекшън пропъртис България” ЕООД на основание чл. 208 КЗ отм. във връзка с чл. 99, ал. 1 ЗЗД сума в размер на 166 081 евро (равняваща се на 324 826, 20 лева), представляваща застрахователно обезщетение за настъпило застрахователно събитие на 06.08.2015г., кражба на описан лек автомобил, застрахован от ответника по имуществена застраховка „Каско”, ведно със законната лихва върху главницата от датата на предявяване на исковата молба -19.07.2018г. до окончателното изплащане, както и в частта, с която на основание чл. 86, ал. 1 ЗЗД ЗАД „Армеец” АД е осъдено да заплати на „Рилекшън пропъртис България” ЕООД сумата в размер на 43 008, 64 евро (равняваща се на 84 117, 59 лева), представляваща мораторна лихва за забава върху посочената главница за периода от 20.11.2015г. до 08.06.2018г. </w:t>
        <w:tab/>
        <w:br/>
        <w:tab/>
        <w:t xml:space="preserve"> </w:t>
        <w:tab/>
        <w:br/>
        <w:tab/>
        <w:t xml:space="preserve"> Върховният касационен съд, състав на Второ отделение, Търговска колегия обсъди молбата и доказателствата към нея, при което приема следното:</w:t>
        <w:tab/>
        <w:br/>
        <w:tab/>
        <w:t xml:space="preserve"> </w:t>
        <w:tab/>
        <w:br/>
        <w:tab/>
        <w:t xml:space="preserve"> Молбата за спиране е основателна.</w:t>
        <w:tab/>
        <w:br/>
        <w:tab/>
        <w:t xml:space="preserve"> </w:t>
        <w:tab/>
        <w:br/>
        <w:tab/>
        <w:t xml:space="preserve">Видно от данните по настоящото дело, срещу въззивното решение е подадена в срок редовна касационна жалба. Съгласно чл. 282, ал. 1, т. 1 ГПК размерът на обезпечението при поискано спиране на изпълнението на съдебен акт по решения за парични вземания се равнява на присъдената сума. Дружеството е внесло сумата от 408 943, 79 лева, като постъплението й по особената сметка за обезпечения на ВКС е потвърдено от специалист-счетоводител на ВКС на 16.12.2019г.</w:t>
        <w:tab/>
        <w:br/>
        <w:tab/>
        <w:t xml:space="preserve"> </w:t>
        <w:tab/>
        <w:br/>
        <w:tab/>
        <w:t xml:space="preserve">Изложеното налага извода, че са налице предпоставките на чл. 282, ал. 1, т. 1 ГПК за спиране изпълнението на въззивното решение, поради което молбата следва да бъде уважена.</w:t>
        <w:tab/>
        <w:br/>
        <w:tab/>
        <w:t xml:space="preserve"> </w:t>
        <w:tab/>
        <w:br/>
        <w:tab/>
        <w:t xml:space="preserve">Водим от горното, Върховният касационен съд, Търговска колегия, Второ отделение</w:t>
        <w:tab/>
        <w:br/>
        <w:tab/>
        <w:t xml:space="preserve"> </w:t>
        <w:tab/>
        <w:br/>
        <w:tab/>
        <w:t xml:space="preserve">ОПРЕДЕЛИ</w:t>
        <w:tab/>
        <w:br/>
        <w:tab/>
        <w:t xml:space="preserve"> </w:t>
        <w:tab/>
        <w:br/>
        <w:tab/>
        <w:t xml:space="preserve"> СПИРА изпълнението на решение № 2719 от 06.12.2019г. по в. т. д. № 4571/2019г. на Софийски апелативен съд, Търговска колегия, 15 състав.</w:t>
        <w:tab/>
        <w:br/>
        <w:tab/>
        <w:t xml:space="preserve"> </w:t>
        <w:tab/>
        <w:br/>
        <w:tab/>
        <w:t xml:space="preserve"> ПРЕПИС от определението да се връчи на молителя ЗАД „АРМЕЕЦ” АД, [населено място].</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