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№3/06.01.2014 по търг. д. №1384/2013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 С., 06.01.2014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единадесети ноември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1384 </w:t>
        <w:tab/>
        <w:br/>
        <w:tab/>
        <w:t xml:space="preserve"> </w:t>
        <w:tab/>
        <w:br/>
        <w:tab/>
        <w:t xml:space="preserve"> по описа за 2013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на Х. Ц. Я. срещу Решение от 08.11.2012 год. по гр. д.№ 10093/2012 год. на Софийски градски съд, с което е потвърдено Решение от 04.05.2012 год. по гр. д.№ 21308/2011 год. на Софийския районен съд и е отхвърлен предявеният по реда на чл. 422 ГПК иск на Х. Я. срещу Б. П. Д. за съществуване на задължение в размер на 20000 лв., ведно със законната лихва, за което по реда на чл. 417 т. 9 ГПК е била издадена заповед за незабавно изпълнение и изпълнителен лист. </w:t>
        <w:tab/>
        <w:br/>
        <w:tab/>
        <w:t xml:space="preserve"> </w:t>
        <w:tab/>
        <w:br/>
        <w:tab/>
        <w:t xml:space="preserve">В изложението по чл. 284 ал. 3 т. 1 ГПК се сочи основанието по чл. 280 ал. 1 т. 1 ГПК по отношение на въпроса дали при въведено от ответника твърдение за липса на каузално правоотношение, следва ищецът да доказва наличието на такова. </w:t>
        <w:tab/>
        <w:br/>
        <w:tab/>
        <w:t xml:space="preserve"> </w:t>
        <w:tab/>
        <w:br/>
        <w:tab/>
        <w:t xml:space="preserve">В представен писмен отговор по реда и в срока на чл. 287 ал. 1 ГПК, ответникът по касация Х. Ц. Я., чрез процесуалния си представител изразява становище, че касационен контрол не следва да бъде допуснат. </w:t>
        <w:tab/>
        <w:br/>
        <w:tab/>
        <w:t xml:space="preserve"> </w:t>
        <w:tab/>
        <w:br/>
        <w:tab/>
        <w:t xml:space="preserve">Както бе посочено по-горе, въззивното решение е постановено по предявен по реда на чл. 422 ГПК иск за установяване съществуването на задължение в размер на 20000 лв. за което Б. П. Д. е издал запис на заповед. В отговора по чл. 131 ГПК Б. П. Д. е подържал тезата, че записът на заповед като материализиращ абстрактна сделка е унищожаем тъй като е издаден при порок на волята на издателя – предпоставките на чл. 29 ЗЗД и чл. 30 ЗЗД. Последователно подържаната теза на Х. Я. е била, че менителничният ефект е действителен, като абстрактна сделка, а твърденията за наличието на измама и принуда при издаването му – несъстоятелни. </w:t>
        <w:tab/>
        <w:br/>
        <w:tab/>
        <w:t xml:space="preserve"> </w:t>
        <w:tab/>
        <w:br/>
        <w:tab/>
        <w:t xml:space="preserve">Съдилищата са приели, че ищецът е този, който трябва да установи и докаже наличието на каузално правоотношение за обезпечение на което е издаден записът на заповед.</w:t>
        <w:tab/>
        <w:br/>
        <w:tab/>
        <w:t xml:space="preserve"> </w:t>
        <w:tab/>
        <w:br/>
        <w:tab/>
        <w:t xml:space="preserve">Настоящия съдебен състав счита, че производството по делото следва да бъде спряно до приключване на производството по ТР № 4/2013 год. на ОСГТК на ВКС. Един от въпросите с които е сезирано общото събрание на двете колегии е “Какъв е предметът на делото и как се разпределя доказателствената тежест при предявен установителен иск по чл. 422 ГПК в хипотезата на издадена заповед за незабавно изпълнение въз основа на запис на заповед”. В рамките на това произнасяне предстои разглеждането и на въпроса за връзката между абстрактната и каузалната сделки.</w:t>
        <w:tab/>
        <w:br/>
        <w:tab/>
        <w:t xml:space="preserve"> </w:t>
        <w:tab/>
        <w:br/>
        <w:tab/>
        <w:t xml:space="preserve">Мотивиран от горното, ВКС-Търговска колегия, състав на І т.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настоящето дело до приключването на ТР №. 4/2013 год. на ОСГТК на ВКС.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Търговска колегия на ВКС в 1-седмичен срок от съобщението на страните.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