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№65/11.06.2015 по нак. д. №753/2015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II наказателно отделение, в закрито заседание на </w:t>
        <w:tab/>
        <w:br/>
        <w:tab/>
        <w:t xml:space="preserve"/>
        <w:tab/>
        <w:br/>
        <w:tab/>
        <w:t xml:space="preserve">юни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петнадесет</w:t>
        <w:tab/>
        <w:br/>
        <w:tab/>
        <w:t xml:space="preserve"> </w:t>
        <w:tab/>
        <w:br/>
        <w:tab/>
        <w:t xml:space="preserve">а </w:t>
        <w:tab/>
        <w:br/>
        <w:tab/>
        <w:t xml:space="preserve"> </w:t>
        <w:tab/>
        <w:br/>
        <w:tab/>
        <w:t xml:space="preserve">годин</w:t>
        <w:tab/>
        <w:br/>
        <w:tab/>
        <w:t xml:space="preserve"> </w:t>
        <w:tab/>
        <w:br/>
        <w:tab/>
        <w:t xml:space="preserve">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/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П. Маринова</w:t>
        <w:tab/>
        <w:br/>
        <w:tab/>
        <w:t xml:space="preserve"> </w:t>
        <w:tab/>
        <w:br/>
        <w:tab/>
        <w:t xml:space="preserve">изслуша докладваното от председателя (съдията)</w:t>
        <w:tab/>
        <w:br/>
        <w:tab/>
        <w:t xml:space="preserve"> </w:t>
        <w:tab/>
        <w:br/>
        <w:tab/>
        <w:t xml:space="preserve"> Ю. Кръстев</w:t>
        <w:tab/>
        <w:br/>
        <w:tab/>
        <w:t xml:space="preserve"> </w:t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753</w:t>
        <w:tab/>
        <w:br/>
        <w:tab/>
        <w:t xml:space="preserve"> </w:t>
        <w:tab/>
        <w:br/>
        <w:tab/>
        <w:t xml:space="preserve">/2</w:t>
        <w:tab/>
        <w:br/>
        <w:tab/>
        <w:t xml:space="preserve"> </w:t>
        <w:tab/>
        <w:br/>
        <w:tab/>
        <w:t xml:space="preserve">015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по повдигнат от Софийски градски съд с разпореждане № 2566 от 11.05.2015 г. по нчд № 1696/2015 г. спор за подсъдност на основание чл. 44, ал. 1 НПК. </w:t>
        <w:tab/>
        <w:br/>
        <w:tab/>
        <w:t xml:space="preserve"/>
        <w:tab/>
        <w:br/>
        <w:tab/>
        <w:t xml:space="preserve"> Представителят на Върховната касационна прокуратура е изразил писмено становище, че делото следва да бъде възложено за разглеждане на Софийски районен съд.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> </w:t>
        <w:tab/>
        <w:br/>
        <w:tab/>
        <w:t xml:space="preserve"> Образуваното пред Софийски районен съд по реда на чл. 306, ал. 1, т. 1 НПК нчд № 4502/2015 г. е прекратено с протоколно определение от 20.04.2015 г. с мотиви, че доколкото е налице съдебен акт на Софийски градски съд, произнесен на основание чл. 452, ал. 3 НПК, именно последният е родово компетентен да разгледа делото. Определение от 10.11.2014 г. по нчд № 4174/2014 г. на Софийски градски съд, с което на осъдения Н. В. Н. е заменено наложеното му със споразумение от 11.01.2012 г. по нохд № 366/2012 г. на Софийски районен съд наказание пробация с лишаване от свобода, е влязло в сила на 23.01.2015 г. </w:t>
        <w:tab/>
        <w:br/>
        <w:tab/>
        <w:t xml:space="preserve"> </w:t>
        <w:tab/>
        <w:br/>
        <w:tab/>
        <w:t xml:space="preserve"> Последната влязла в сила от 10.12.2014 г. присъда по отношение на Н. е одобреното от Софийски районен съд по нохд № 9537/2014 г. споразумение. Поради това и в съответствие с разпоредбата на чл. 39, ал. 1 НПК, компетентен да разгледа производството по внесеното предложение от Софийска районна прокуратура за определяне на общо наказание е Софийски районен съд. Последващата замяна на наказанието пробация с лишаване от свобода не променя датата на влизане на присъдата в сила и не съставлява нова присъда, а поставя въпрос относно възможностите замененото наказание да бъде групирано, който въпрос обаче е такъв по съществото на делото. </w:t>
        <w:tab/>
        <w:br/>
        <w:tab/>
        <w:t xml:space="preserve"> </w:t>
        <w:tab/>
        <w:br/>
        <w:tab/>
        <w:t xml:space="preserve"> Водим от изложеното и на основание чл. </w:t>
        <w:tab/>
        <w:br/>
        <w:tab/>
        <w:t xml:space="preserve"> </w:t>
        <w:tab/>
        <w:br/>
        <w:tab/>
        <w:t xml:space="preserve">4, ал.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 З П Р А Щ А </w:t>
        <w:tab/>
        <w:br/>
        <w:tab/>
        <w:t xml:space="preserve"> </w:t>
        <w:tab/>
        <w:br/>
        <w:tab/>
        <w:t xml:space="preserve"> по подсъдност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разглеждане от Софийски </w:t>
        <w:tab/>
        <w:br/>
        <w:tab/>
        <w:t xml:space="preserve"> </w:t>
        <w:tab/>
        <w:br/>
        <w:tab/>
        <w:t xml:space="preserve">районен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 ч</w:t>
        <w:tab/>
        <w:br/>
        <w:tab/>
        <w:t xml:space="preserve"> </w:t>
        <w:tab/>
        <w:br/>
        <w:tab/>
        <w:t xml:space="preserve">нд №</w:t>
        <w:tab/>
        <w:br/>
        <w:tab/>
        <w:t xml:space="preserve"> </w:t>
        <w:tab/>
        <w:br/>
        <w:tab/>
        <w:t xml:space="preserve"> 1696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по описа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Софийски градски съд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Да се уведоми </w:t>
        <w:tab/>
        <w:br/>
        <w:tab/>
        <w:t xml:space="preserve"> </w:t>
        <w:tab/>
        <w:br/>
        <w:tab/>
        <w:t xml:space="preserve">Софийски градски </w:t>
        <w:tab/>
        <w:br/>
        <w:tab/>
        <w:t xml:space="preserve"> </w:t>
        <w:tab/>
        <w:br/>
        <w:tab/>
        <w:t xml:space="preserve">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