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№318/16.09.2019 по гр. д. №169/2019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318</w:t>
        <w:tab/>
        <w:br/>
        <w:tab/>
        <w:t xml:space="preserve"> </w:t>
        <w:tab/>
        <w:br/>
        <w:tab/>
        <w:t xml:space="preserve">гр. София 16.09.2019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откритото заседание на 15.05.2019 (петнадесети май две хиляди и деветнадесета)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при участието на секретаря СТЕФКА ТОДОРОВА, като разгледа докладваното от съдията Д. Д, гражданско дело № 169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153, ал. 1 от ГПК, повод на молба с вх. № 2851/25.03.2019 година, подадена от Нотариалната камара [населено място] за поправка на протокола от проведеното на 13.03.2019 година открито съдебно заседание по делото, като на страница втора, ред единадесети от него вместо „Не приема представеното в днешното съдебно заседание“ се чете „Приема представеното в днешното съдебно заседание“; на страница втора, ред тридесет и втори вместо „изричната императивна разпоредба на чл. 16 от наредба и чл. 45 от 2000 г.“ да се чете „изричната императивна разпоредба на чл. 16 от Наредба № І-45 от 2000 г.“ и на страница четвърта, ред седемнадесети вместо „считам, че предвид тайното поведение, а именно невъвеждането на“ да се чете „считам, че предвид трайното поведение, а именно невъвеждането на“.</w:t>
        <w:tab/>
        <w:br/>
        <w:tab/>
        <w:t xml:space="preserve"> </w:t>
        <w:tab/>
        <w:br/>
        <w:tab/>
        <w:t xml:space="preserve">Насрещната страна по молбата В. М. П.-нотариус с район на действие района на Районен съд Варна, вписан под № *** в регистъра на Нотариалната камара не е подал отговор на молбата като не е изразил становище по допустимостта и основателността й.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преценявайки данните по делото намира, че същата е основателна,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поправка на протокола от проведеното на 13.03.2019 година открито съдебно заседание по делото, като на страница втора, ред единадесети от него вместо „Не приема представеното в днешното съдебно заседание“ се чете „Приема представеното в днешното съдебно заседание“; на страница втора, ред тридесет и втори вместо „изричната императивна разпоредба на чл. 16 от наредба и чл. 45 от 2000 г.“ да се чете „изричната императивна разпоредба на чл. 16 от Наредба № І-45 от 2000 г.“ и на страница четвърта, ред седемнадесети вместо „считам, че предвид тайното поведение, а именно невъвеждането на“ да се чете „считам, че предвид трайното поведение, а именно невъвеждането на“.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