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№220/17.06.2015 по гр. д. №6986/2014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 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Като изслуша докладваното от съдия Керелска ч. гр. дело № 579/2015 г.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молба за отмяна на осн. чл. 303, т. 5 ГПК на [фирма] срещу постановление за възлагане на недвижим имот от 23.05.2014 г. по изпълнително дело №20147890400023 на ЧСИ Н. К., рег. №789 от КЧСИ.</w:t>
        <w:tab/>
        <w:br/>
        <w:tab/>
        <w:t xml:space="preserve"> </w:t>
        <w:tab/>
        <w:br/>
        <w:tab/>
        <w:t xml:space="preserve"> Производството е за проверка редовността и допустимостта на подадената молба за отмяна, </w:t>
        <w:tab/>
        <w:br/>
        <w:tab/>
        <w:t xml:space="preserve"> </w:t>
        <w:tab/>
        <w:br/>
        <w:tab/>
        <w:t xml:space="preserve"> Предвид на това същото следва да бъде спряно до приключване на ТД №2/2013 год. на ОСГТК на ВКС с оглед разрешаването по тълкувателен път на въпроса: „Кои кредитори, в чиято полза е допуснато обезпечение чрез налагане на запор или възбрана се считат присъединени взискатели, когато изпълнението е насочено върху предмета на обезпечението”,който е включен за разглеждане по тълкувателното дело / /т. 5/. Разрешаването на този въпрос е от значение при преценка допустимостта на подадената молба за отмяна, </w:t>
        <w:tab/>
        <w:br/>
        <w:tab/>
        <w:t xml:space="preserve"/>
        <w:tab/>
        <w:br/>
        <w:tab/>
        <w:t xml:space="preserve"> Мотивиран от горното, Върховният касационен съд, състав на IIІ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производството по гр. дело № 6986/2014 г. на ВКС, 3-то г. о. </w:t>
        <w:tab/>
        <w:br/>
        <w:tab/>
        <w:t xml:space="preserve"> </w:t>
        <w:tab/>
        <w:br/>
        <w:tab/>
        <w:t xml:space="preserve"> След приемане на Тълкувателно решение по тълкувателно дело № 2/2013, делото да се докладва за възобновяване на производството.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