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№5009/18.04.2023 по гр. д. №839/2022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50094</w:t>
        <w:tab/>
        <w:br/>
        <w:tab/>
        <w:t xml:space="preserve"/>
        <w:tab/>
        <w:br/>
        <w:tab/>
        <w:t xml:space="preserve"> Гр.София, 18.04.2023г.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четвърти април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N.839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Съдът, като взе предвид, че производството по делото е спряно на основание чл. 292 ГПК до приключване на тълк. д.№.3/2020 на ОСГТК на ВКС - което е приключило с тълкувателно решение №.3/2020 от 28.03.2023 год., намира, че на основание чл. 230 ал. 1 ГПК производството по делото следва да бъде възобновено служебно.</w:t>
        <w:tab/>
        <w:br/>
        <w:tab/>
        <w:t xml:space="preserve"/>
        <w:tab/>
        <w:br/>
        <w:tab/>
        <w:t xml:space="preserve"> Мотивиран от горното, ВКС, състав на ІІІ ГО,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г. д.№.839/22 по описа на ВКС.</w:t>
        <w:tab/>
        <w:br/>
        <w:tab/>
        <w:t xml:space="preserve"/>
        <w:tab/>
        <w:br/>
        <w:tab/>
        <w:t xml:space="preserve"> НАСРОЧВА делото за разглеждане в закрито заседание на 2.05.23г.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