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№316/01.06.2021 по търг. д. №1936/2020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№. 316</w:t>
        <w:tab/>
        <w:br/>
        <w:tab/>
        <w:t xml:space="preserve"> </w:t>
        <w:tab/>
        <w:br/>
        <w:tab/>
        <w:t xml:space="preserve">гр. София, 01.06.2021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 на двадесет и пети май,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д.№1936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„Аутоинвест груп“ ЕООД срещу решение №92 от 12.03.2020 г. по в. т.д.№705/2019 г. на АС Пловдив. С обжалваното решение е потвърдено решение №278 от 21.05.2019 г., по т. д. №174/2018 г., с което е обявено за недействително по отношение на Я. Й. Й., като предназначено да го увреди, извършеното на 02.12.2013 г. авалиране от „Пърфект хотелс“ ООД /л/, в качеството на авалист, на издаден от „Хачо груп“ ООД запис на заповед за сумата от 50 000 лв., с падеж 28.02.2014 г. в полза на поемателя „Мод-ауто транс“ ЕООД, което дружество с договор за цесия от 20.06.2014 г. е прехвърлило вземането си по записа на заповед на „Аутоинвест груп“ ЕООД. </w:t>
        <w:tab/>
        <w:br/>
        <w:tab/>
        <w:t xml:space="preserve"> </w:t>
        <w:tab/>
        <w:br/>
        <w:tab/>
        <w:t xml:space="preserve">В жалбата се излагат съображения, че решението е постановено при нарушения на материалния закон и необоснованост. В изложение по чл. 284, ал. 3, т. 1 от ГПК се поддържа, че решението е неправилно, тъй като в противоречие с практиката на ВКС, въззивният съд е приел, че са налице предпоставките за уважаването на Павловия иск, а в случая в хода на съдебното производство не се установява безспорно, че извършената цесия е имала за цел да увреди ищеца. </w:t>
        <w:tab/>
        <w:br/>
        <w:tab/>
        <w:t xml:space="preserve"> </w:t>
        <w:tab/>
        <w:br/>
        <w:tab/>
        <w:t xml:space="preserve">Ответникът по касация Я. Й. Й. заявява становище за липса на основания за допускане на касационно обжалване, евентуално за неоснователност на жалбата, като претендира присъждане на разноски за адвокатско възнаграждение.</w:t>
        <w:tab/>
        <w:br/>
        <w:tab/>
        <w:t xml:space="preserve"> </w:t>
        <w:tab/>
        <w:br/>
        <w:tab/>
        <w:t xml:space="preserve">Останалите страни не заявяват становище.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от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качеството на кредитор за ищеца произтича от откритото производството по ликвидация на „Пърфект хотелс“ ООД, както и от правото му на ликвидационен дял като съдружник в това дружество, съгласно с разпоредбите на чл. 271, вр. чл. 123 от ТЗ, като временната липса на конкретни действия във връзка с ликвидацията на дружеството не променя направения извод, тъй като бездействието или отказа на ликвидатора да изпълнява възложените му от закона функции са преодолими с назначаването на нов ликвидатор, без това да води до промяна в правния статут на търговското дружество и произтичащите от това права за съдружниците. Намерил е за неоснователно и възражението за липсата на другата, предвидена в закона – чл. 135, ал. 3 от ЗЗД, предпоставка за относителната недействителност на процесната сделка – предназначението й да увреди кредитора, макар и да е била извършена преди възникване на вземането. Посочил е, че преценката за подобно намерение се извършва въз основа на всички доказателства за обстоятелствата, при които са извършени действията между длъжника и третото лице, а предвид обстоятелството, че увреденият кредитор обикновено не разполага с преки доказателства за увреждащия интересите му сговор между длъжника и третото лице, е допустимо подобни уговорки или намерение, да бъдат установявани с косвени доказателства. Счел е, че в конкретния случай, релевантният за спора факт, че поетото от „Пърфект хотелс“ ООД менителнично поръчителство по записа на заповед от 02.12.2013 г., с издател „Хачо груп“ ЕООД и поемател „Мод-ауто транс“ ЕООД, е било предназначено за облагодетелстване на съдружника в „Пърфект хотелс“ ООД – Р. К. за сметка на увреждането на другия съдружник и ищец, е подкрепен с достатъчно преки и косвени доказателства: 1. По делото не се е твърдяло, а не са събрани и доказателства за съществуването на търговски или други гражданско-правни отношения между издателя и ремитента по записа на заповед, което се потвърждава и от съдържанието на годишните финансови отчети и счетоводни баланси на трите дружества /издател, поемател и авалист/ за 2013 г. 2. Липсва търговска дейност на търговските дружества през периода, предхождащ процесната търговска сделка, което навежда на извод за абсолютната симулативност на тази сделка, както и за предназначението й да послужи като повод за поемане на менителничното поръчителство от страна на „Пърфект хотелс“ ООД, като единственото от участващите в сделката дружество, притежаващо конкретно имущество, чрез което да се удовлетвори вземането на „Аутоинвест груп“ ЕООД и да се постигне крайната цел – това имущество да се върне в патримониума на съдружника в „Пърфект хотелс“ ООД – Р. К.. 3. Показанията на разпитаните свидетели, формални собственици на капитала и представляващи съответно „Мод-ауто транс“ ЕООД - поемател по записа на заповед и „Аутоинвест груп“ ЕООД - комуто е прехвърлено паричното вземане и настоящ взискател /последното регистрирано след издаване на изпълнителния лист по записа на заповед и чийто капитал е придобит от Р. К. преди започване на действията по принудително изпълнение срещу „Пърфект хотелс“ ООД/, установяват действителния собственик /Р. К./ на капитала на посочените дружества, а така също и действителните намерения на собствениците и представляващите тези дружества лица във връзка с оспорваната менителнична сделка и последващия договор за цесия. 4. Изложените факти са били известни на представителите на дружествата, които лесно биха могли да предвидят последиците от авалирането на менителнично задължение на неосъществяващо дейност и без каквито и да било активи дружество, от страна на друго дружество, притежаващо един единствен актив /недвижим имот/, на стойност, близка до размера на поетото задължение. С оглед изложеното въззивният съд е достигнал до извод, че в случая са налице кумулативните предпоставки на чл. 135, ал. 1 и ал. 3 от ЗЗД, тъй като представляващият авалиста по процесната менителнична сделка, както и представляващите издателя и поемателя по записа на заповед, не само са били наясно с целта и последиците от издаването на ценната книга и авалирането й, но съзнателно и целенасочено са планирали тази и последващата сделка и страните по тях, като крайната цел на тези действия е насочена към отчуждаване на единствения актив на „Пърфект хотелс“ ООД /чрез извършване на публична продан на собствения му недвижим имот, придобит със средства на дружество/, съответно - до увреждане правата на съдружника ищец, чрез лишаването му от възможността за получаване на дружествен или ликвидационен дял, за сметка на облагодетелстването на другия съдружник – Р. К., чрез придобиването на имота от дружество-кредитор, чийто едноличен собственик е той.</w:t>
        <w:tab/>
        <w:br/>
        <w:tab/>
        <w:t xml:space="preserve"> </w:t>
        <w:tab/>
        <w:br/>
        <w:tab/>
        <w:t xml:space="preserve">Настоящият състав намира, че решението на въззивния съд не може да бъде допуснато до касационно обжалване.</w:t>
        <w:tab/>
        <w:br/>
        <w:tab/>
        <w:t xml:space="preserve"> </w:t>
        <w:tab/>
        <w:br/>
        <w:tab/>
        <w:t xml:space="preserve">В случая в изложението на основанията за допускане на касационно обжалване не е формулиран материално или процесуалноправен въпрос, обусловил решаващата воля на въззивния съд - съдържащите се в изложението твърдения за неправилност на изводите на въззивния съд, респективно за противоречието на тези изводи с практиката на ВКС, не съставляват конкретен въпрос на материалното и/или процесуалното право, а се отнасят изцяло към правилността на решението, която обаче извън въведеното с ал. 2 на чл. 280 от ГПК основание за допускане на касационно обжалване – очевидна неправилност /каквато не се твърди да е налице в случая/, не е предмет на проверка в настоящия стадий по селектиране на касационните жалби. </w:t>
        <w:tab/>
        <w:br/>
        <w:tab/>
        <w:t xml:space="preserve"> </w:t>
        <w:tab/>
        <w:br/>
        <w:tab/>
        <w:t xml:space="preserve">В този смисъл и тъй като съгласно дадените в т. 1 на ТР №1/2009 г. на ОСГТК на ВКС разяснения, обжалваното решение не може да се допусне до касационен контрол, без да е посочено общото основание за селектиране на касационните жалби - правния въпрос от значение за изхода по конкретното дело, като ВКС не е длъжен и не може да извежда този въпрос от твърденията на касатора, както и от сочените от него факти и обстоятелства, настоящият състав намира, че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С оглед изхода на спора касаторът дължи на ответника по касация Я. Й. Й. направени разноски за адвокатско възнаграждение пред ВКС в размер на 2000 лв.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№92 от 12.03.2020 г. по в. т.д.№705/2019 г. на АС Пловдив.</w:t>
        <w:tab/>
        <w:br/>
        <w:tab/>
        <w:t xml:space="preserve"> </w:t>
        <w:tab/>
        <w:br/>
        <w:tab/>
        <w:t xml:space="preserve">ОСЪЖДА „Аутоинвест груп“ ЕООД ЕИК[ЕИК] да заплати на Я. Й. Й. ЕГН [ЕГН] сумата от 2000 лв., разноски за адвокатско възнаграждение пред ВКС.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