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№300/09.04.2014 по ч. търг. д. №902/2014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№300</w:t>
        <w:tab/>
        <w:br/>
        <w:tab/>
        <w:t xml:space="preserve"> </w:t>
        <w:tab/>
        <w:br/>
        <w:tab/>
        <w:t xml:space="preserve"> Гр.София, 09.04.2014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трети април през две хиляди и четиринадесета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Тотка Калчева </w:t>
        <w:tab/>
        <w:br/>
        <w:tab/>
        <w:t xml:space="preserve"> </w:t>
        <w:tab/>
        <w:br/>
        <w:tab/>
        <w:t xml:space="preserve"> Вероника Николова </w:t>
        <w:tab/>
        <w:br/>
        <w:tab/>
        <w:t xml:space="preserve"> </w:t>
        <w:tab/>
        <w:br/>
        <w:tab/>
        <w:t xml:space="preserve">при секретаря................., след като изслуша докладваното от съдия Калчева, ч. т.д.№ 902 по описа за 2014г.,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 срещу определение № 2530/18.12.2013г., постановено по ч. т.д.№ 1389/13г. от Пловдивския апелативен съд, с което е оставена без уважение частната му жалба против определение № 1788/04.10.2013г. по т. д.№ 588/13г. на Пловдивския окръжен съд за оставяне без уважение на възражението за подсъдност на делото и за изпращането му по подсъдност на Пловдивския районен съд.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 280, ал. 1, т. 2 ГПК.</w:t>
        <w:tab/>
        <w:br/>
        <w:tab/>
        <w:t xml:space="preserve"> </w:t>
        <w:tab/>
        <w:br/>
        <w:tab/>
        <w:t xml:space="preserve"> Ответникът Е с „ТАЦ Г.”, [населено място] не взема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І отделение констатира, че частната жалба е допустима.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е предявен иск за заплащане на разходи за поддържане на сграда в режим на етажна собственост, дължими за определен период от време, поради което е за повтарящи се задължения и цената на иска се определя от сбора на всички платежи по правилото на чл. 69, ал. 1, т. 6 ГПК, която в случая е в размер на 29470.77 лв., поради което искът е родово подсъден на окръжния съд.</w:t>
        <w:tab/>
        <w:br/>
        <w:tab/>
        <w:t xml:space="preserve"> </w:t>
        <w:tab/>
        <w:br/>
        <w:tab/>
        <w:t xml:space="preserve"> Частният жалбоподател поддържа, че е налице противоречие в практиката на съдилищата при определяне на цената на исковете, предявени при условията на кумулативно обективно съединяване. </w:t>
        <w:tab/>
        <w:br/>
        <w:tab/>
        <w:t xml:space="preserve"> </w:t>
        <w:tab/>
        <w:br/>
        <w:tab/>
        <w:t xml:space="preserve"> Настоящият състав на ВКС намира, че касационното обжалване не следва да се допуска.</w:t>
        <w:tab/>
        <w:br/>
        <w:tab/>
        <w:t xml:space="preserve"> </w:t>
        <w:tab/>
        <w:br/>
        <w:tab/>
        <w:t xml:space="preserve"> Посочената от частния жалбоподател практика на съдилищата е относима към обективното съединяване на искове по правилата на чл. 104 ГПК, в който случай за родовата подсъдност е от значение цената на исковете. Определянето на размера на цената на иска по правилото на чл. 69, ал. 1, т. 6 ГПК изисква изчисляване на сбора на периодичните платежи за определено време, поради което не се прилага разпоредбата на чл. 69, ал. 1, т. 1 ГПК. В този смисъл частният жалбоподател не е мотивирал приложното поле на касационното обжалване по въведеното основание по чл. 280, ал. 1, т. 2 ГПК.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определение № 2530/18.12.2013г., постановено по ч. т.д.№ 1389/13г. от Пловдивския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