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№132/26.09.2012 по нак. д. №1391/2012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/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ЮРИЙ КРЪСТЕВ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1391/2012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Производството е образувано по повод разпореждането от 20.06.2012 год. на съдия от Хасковския окръжен съд, с което е разпоредил връщане на касационна жалба на осъдения З. като недопустима.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писменото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намира: </w:t>
        <w:tab/>
        <w:br/>
        <w:tab/>
        <w:t xml:space="preserve"> </w:t>
        <w:tab/>
        <w:br/>
        <w:tab/>
        <w:t xml:space="preserve"> Димитровградският районен съд е признал за виновен подсъдимия З. по чл. 148, ал. 2 вр. ал. 1, т. 1 вр. чл. 147, ал. 1 вр. чл. 26, ал. 1 НК. С решение № 34/07.03.2012 год. по въззивно нохд № 55/2012 год. е изменил присъдата в частта относно квалификацията като го е оправдал по обвинението да е извършил престъплението публично и потвърдил в останалата част. Влезлият в сила съдебен акт не подлежи на обжалване по касационен ред. Съгласно чл. 146, т. 2 НПК изрично е предвидено правото на обжалване само в случаите, когато въззивният съд е упражнил правомощията си по чл. 336 вр. 334, т. 2 НПК и е постановил нова присъда. В конкретния случай въззивният съд е упражнил правомощията си по чл. 334, т. 3 НПК като само е изменил присъдата и затова решението не подлежи на касационна проверка.</w:t>
        <w:tab/>
        <w:br/>
        <w:tab/>
        <w:t xml:space="preserve"> </w:t>
        <w:tab/>
        <w:br/>
        <w:tab/>
        <w:t xml:space="preserve"> С оглед на изложеното жалбата против разпореждането е неоснователна и следва да бъде оставена без уважение, поради което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частната жалба на осъдения И. С. З. против разпореждането от 20.06.2012 год. по въззивно нчхд № 55/2012 год. на Хасковския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