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№1036/09.10.2014 по гр. д. №3424/2014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1036 </w:t>
        <w:tab/>
        <w:br/>
        <w:tab/>
        <w:t xml:space="preserve"/>
        <w:tab/>
        <w:br/>
        <w:tab/>
        <w:t xml:space="preserve"> ГР. С., 09.10.2014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6.10.2014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И. гр. д. №3424/14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[фирма], [населено място] срещу въззивното решение на Смолянски окръжен съд по гр. д. №541/13 г., с което е уважен предявеният от Л. К. и Й. К. срещу касатора и [фирма], [населено място] иск по чл. 124, ал. 1 ГПК – признато е, че по отношение на процесния недвижим имот – ап. 10, с принадлежните му изба и общи части на сградата, която е жилищна кооперация „КЦ-55”, вх.А, [населено място], не е учредена договорна ипотека, с нот. акт №20/2007 г. на посочения нотариус.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3 ГПК. Поставя четири материалноправни въпроса от предмета на спора, относно предмета / включително необходимата степен на индивидуализацията му/ и действието на учредената от ответника по иска [фирма] в полза на банката договорна ипотека, оформена с посочения нот. акт. Намира, че по тези въпроси към постановяване на въззивното решение не е имало задължителна практика на ВКС. Впоследствие обаче за сходен от правна и фактическа страна казус е постановено р. по гр. д. №5059/13 г. на първо г. о. на ВКС, с което въпросите и целият спор са решени по начин, различен от този в обжалваното решение. Поставя като решен в противоречие с практиката на ВКС по чл. 70 и сл. З. / опр. по ч. гр. д. №155/09 г. на 1-во г. о./ и въпросът: представлява ли недостатък на вписването обстоятелството, че ипотечният акт е вписан по поименната партида на учредителя на ипотеката по правилата на ПВ, и не по имотната партида на имота, при все още неосъществено производство за създаване и въвеждане на имотен регистър, съгл. чл. 70 и сл. З.?</w:t>
        <w:tab/>
        <w:br/>
        <w:tab/>
        <w:t xml:space="preserve"> </w:t>
        <w:tab/>
        <w:br/>
        <w:tab/>
        <w:t xml:space="preserve"> ВКС намира, че е налице основанието по чл. 280, ал. 1, т. 1 от ГПК - обжалване на въззивното решение следва да се допусне по поставените от касатора въпроси, при констатирано противоречие на изводите на въззивния съд в обжалваното решение с вече създадената практика на ВКС по чл. 290 от ГПК за подобни случаи – цитираното от касатора решение, както и още: Р. по гр. д. №396/14 г. на първо г. о., Р. по гр. д. №4514/13 г. и по 4005/13 г. на трето г. о. на ВКС.</w:t>
        <w:tab/>
        <w:br/>
        <w:tab/>
        <w:t xml:space="preserve"> </w:t>
        <w:tab/>
        <w:br/>
        <w:tab/>
        <w:t xml:space="preserve"> Поради изложеното ВКС на РБ, трето гр. отд.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Смолянски окръжен съд по гр. д. №541/13 г. от 17.03.14 г.</w:t>
        <w:tab/>
        <w:br/>
        <w:tab/>
        <w:t xml:space="preserve"> </w:t>
        <w:tab/>
        <w:br/>
        <w:tab/>
        <w:t xml:space="preserve"> Указва на касатора [фирма], [населено място] да внесе в едноседмичен срок държавна такса за разглеждане на жалбата в размер на 357,25 лв.. и представи вносен документ. В противен случай жалбата ще бъде върната.</w:t>
        <w:tab/>
        <w:br/>
        <w:tab/>
        <w:t xml:space="preserve"> </w:t>
        <w:tab/>
        <w:br/>
        <w:tab/>
        <w:t xml:space="preserve"> След изтичане на срока, в зависимост от изпълнението на указанието,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