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№425/20.03.2014 по гр. д. №7573/2013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425</w:t>
        <w:tab/>
        <w:br/>
        <w:tab/>
        <w:t xml:space="preserve"/>
        <w:tab/>
        <w:br/>
        <w:tab/>
        <w:t xml:space="preserve"> ГР. С., 20.03.2014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18.03.14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 7573/13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[община] срещу въззивното решение на Окръжен съд Кюстендил /ОС/ по гр. д. №468/13 г. и по допускане на обжалването. С въззивното решение са уважени предявените от М. Д. срещу общината /както е приел въззивният съд/ искове по чл. 344, ал. 1 КТ, с които е оспорена законността на дисциплинарното уволнение на ищцата от длъжността ръководител на бюджетно звено „Постоянна детска ясла Пролет”, [населено място]. Общината е посочена като ответник в мотивите на въззивното решение и с диспозитива му е осъдена да заплати разноските за въззивното производство. 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Обжалване на въззивното решение следва да се допусне за проверка на допустимостта му, за която ВКС следи служебно и в това производство – ТР №1/19.02.10 г. Видно от първоинстанционното производство, след оставянето на исковата молба без движение за уточняване на надлежния ответник, съобр. ТР №1/30.03.12 г., като такъв е конституирана Постоянна детска ясла „Пролет”, а производството срещу първоначално посочения ответник – [община] е прекратено /л. 137/. Въпреки това въззивното решение е постановено спрямо последната и тя е касационен жалбоподател по делото.</w:t>
        <w:tab/>
        <w:br/>
        <w:tab/>
        <w:t xml:space="preserve"> </w:t>
        <w:tab/>
        <w:br/>
        <w:tab/>
        <w:t xml:space="preserve"> Поради изложеното ВКС на РБ, трето гр. отд.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Окръжен съд Кюстендил по гр. д. №468/13 г. от 5.08.13 г.</w:t>
        <w:tab/>
        <w:br/>
        <w:tab/>
        <w:t xml:space="preserve"> </w:t>
        <w:tab/>
        <w:br/>
        <w:tab/>
        <w:t xml:space="preserve"> Дава възможност на касатора [община] да внесе в едноседмичен срок и представи доказателства за внасянето на държавна такса за разглеждане на жалбата в размер на 116, 46 лв., като в противен случай жалбата ще бъде върната.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