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№864/09.12.2011 по търг. д. №821/2011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№821/2011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2, във вр. с ал. 1, т. 1 във вр. с чл. 286 ал. 2 ГПК по повод подадена частна жалба от [фирма] [населено място], с вх.№ 7525 от 20.10.2011 год. на Врачанския окръжен съд, подадена по пощата с пощенско клеймо от 18.10.2011 год., срещу Разпореждане №1715 от 07.10.2011 год. по гр. д.№357/2011 год. на Врачанския окръжен съд, с което касационната жалба на настоящия жалбоподател на основание чл. 286 ал. 1, т. 2 във вр. с чл. 285, ал. 1 във вр. с чл. 284, ал. 4 ГПК е върната, поради неотстраняване в срок на указаните му нередовности. Частният жалбоподател твърди, че обжалваното определение е неправилно, тъй като с изпращането на основанията за достъп до касация с вх.№7638 от 25.10.2011 год. на Врачанския окръжен съд, подадени по пощата в [населено място] на 17.08.2011 год. е спазил едноседмичния срок по чл. 285, ал. 1 ГПК. Съобщението за отстраняване на нередовностите на касационната жалба е получено на 11.08.2011 год. Представя незаверено ксероксно копие на Сметка №12 за предаване на пощенски ценности на 17.08.2011 год. с отбелязване номера на въззивното дело- №357 на Врачанския окръжен съд.</w:t>
        <w:tab/>
        <w:br/>
        <w:tab/>
        <w:t xml:space="preserve"> </w:t>
        <w:tab/>
        <w:br/>
        <w:tab/>
        <w:t xml:space="preserve"> Ответникът [община] оспорва частната жалба.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275, ал. 1 във вр. с чл. 62, ал. 2 ГПК, от страна активно легитимирана за това, срещу определение, подлежащо на касационно обжалване/ чл. 274, ал. 2 ГПК/, поради което е процесуално допустима.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 Представената от жалбоподателя Сметка №12 за предаване на пощенски ценности от 17.08.2011 год. не представлява заверен от страната по реда на чл. 183 ГПК документ. Още повече, че подаването по пощата на приложението към касационната жалба е следвало да се извърши чрез пощенска услуга по смисъла на чл. 3, т. 1 ЗПУ, която включва приемане, пренасяне и доставяне на пощенски пратки, а не чрез сметка за подаване на пощенски ценности.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Разпореждане №1715 от 07.10.2011 год. по гр. д.№357/2011 год. на Врачанския окръжен съд, с което касационната жалба на [фирма] срещу Решение №319 от 22.06.2011 год. по гр. д.№357/2011 год. е върната обратно.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