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№846/05.12.2011 по ч. търг. д. №614/2011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ч. т.д.№ 614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касационна жалба на [фирма], [населено място] срещу определение № 161/18.05.2011г., постановено по в. ч.гр. д.№ 221/11г., с което Окръжен съд – Смолян е потвърдил определение № 315/04.02.2011г. по ч. гр. д.№ 1105/07г. на Районен съд – Смолян за внасяне в приход на държавния бюджет на сумата от 20000 лв., внесена като гаранция по обезпечение за бъдещ иск.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констатира, че частната касационна жалба е </w:t>
        <w:tab/>
        <w:br/>
        <w:tab/>
        <w:t xml:space="preserve"> </w:t>
        <w:tab/>
        <w:br/>
        <w:tab/>
        <w:t xml:space="preserve">недопустима.</w:t>
        <w:tab/>
        <w:br/>
        <w:tab/>
        <w:t xml:space="preserve"> </w:t>
        <w:tab/>
        <w:br/>
        <w:tab/>
        <w:t xml:space="preserve"> Съгласно чл. 274, ал. 3 ГПК на обжалване пред ВКС подлежат определенията на въззивните съдилища, с които оставят без уважение частни жалби срещу определения, преграждащи по-нататъшното развитие на делото и определения, с които се дава разрешение по същество на други производства или се прегражда тяхното развитие.</w:t>
        <w:tab/>
        <w:br/>
        <w:tab/>
        <w:t xml:space="preserve"> </w:t>
        <w:tab/>
        <w:br/>
        <w:tab/>
        <w:t xml:space="preserve"> Обжалваното въззивно определение не е от категорията на визираните актове, тъй като не е преграждащо и е постановено в обезпечително производство. Всички актове на съда, издадени в обезпечителното производство, подлежат на двуинстанционно разглеждане с единствено изключение по чл. 396, ал. 2, изр. 3 ГПК. При действието на ГПК отм. определенията на първоинстанционния съд подлежаха на обжалване единствено пред съответния въззивен съд. В този смисъл, определението на районния съд, с което е отменено допуснатото обезпечение е влязло в сила от датата на постановяване на въззивния акт за оставянето му в сила. </w:t>
        <w:tab/>
        <w:br/>
        <w:tab/>
        <w:t xml:space="preserve"> </w:t>
        <w:tab/>
        <w:br/>
        <w:tab/>
        <w:t xml:space="preserve"> По тези съображения частната жалба следва да се остави без разглеждане.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частната касационна жалба на [фирма], [населено място] срещу определение № 161/18.05.2011г., постановено по в. ч.гр. д.№ 221/11г. от Окръжен съд – Смолян.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с частна жалба пред друг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