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№75/05.03.2015 по нак. д. №1945/2014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75</w:t>
        <w:tab/>
        <w:br/>
        <w:tab/>
        <w:t xml:space="preserve"> </w:t>
        <w:tab/>
        <w:br/>
        <w:tab/>
        <w:t xml:space="preserve">гр. София, 05 март 2015г.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наказателно отделение, в съдебно заседание на двадесет и шести февруари, през две хиляди и петнадесета година, в състав:</w:t>
        <w:tab/>
        <w:br/>
        <w:tab/>
        <w:t xml:space="preserve"/>
        <w:tab/>
        <w:br/>
        <w:tab/>
        <w:t xml:space="preserve"> ПРЕДСЕДАТЕЛ: ЦВЕТИНКА ПАШКУНОВА</w:t>
        <w:tab/>
        <w:br/>
        <w:tab/>
        <w:t xml:space="preserve"> </w:t>
        <w:tab/>
        <w:br/>
        <w:tab/>
        <w:t xml:space="preserve"> ЧЛЕНОВЕ: СЕВДАЛИН МАВРОВ</w:t>
        <w:tab/>
        <w:br/>
        <w:tab/>
        <w:t xml:space="preserve"> </w:t>
        <w:tab/>
        <w:br/>
        <w:tab/>
        <w:t xml:space="preserve"> КРАСИМИР ШЕКЕРДЖИЕВ</w:t>
        <w:tab/>
        <w:br/>
        <w:tab/>
        <w:t xml:space="preserve"> </w:t>
        <w:tab/>
        <w:br/>
        <w:tab/>
        <w:t xml:space="preserve">при секретар ИВАНКА ИЛИЕВА</w:t>
        <w:tab/>
        <w:br/>
        <w:tab/>
        <w:t xml:space="preserve"> </w:t>
        <w:tab/>
        <w:br/>
        <w:tab/>
        <w:t xml:space="preserve">и в присъствието на прокурора ПЕТЯ МАРИНОВА</w:t>
        <w:tab/>
        <w:br/>
        <w:tab/>
        <w:t xml:space="preserve"> </w:t>
        <w:tab/>
        <w:br/>
        <w:tab/>
        <w:t xml:space="preserve">изслуша докладваното от съдията ЦВЕТИНКА ПАШКУНОВА </w:t>
        <w:tab/>
        <w:br/>
        <w:tab/>
        <w:t xml:space="preserve"> </w:t>
        <w:tab/>
        <w:br/>
        <w:tab/>
        <w:t xml:space="preserve">н. д. № 1945/2014г.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представител на Апелативна прокуратура /АП/ – Варна срещу оправдателна присъда №4 от 10.10.2014г. на Варненски апелативен съд /АС/, по внохд №225/2014г.</w:t>
        <w:tab/>
        <w:br/>
        <w:tab/>
        <w:t xml:space="preserve"> </w:t>
        <w:tab/>
        <w:br/>
        <w:tab/>
        <w:t xml:space="preserve"> В депозирания протест се релевират оплаквания за допуснати от въззивната инстанция нарушения на процесуалния и матералния закон. </w:t>
        <w:tab/>
        <w:br/>
        <w:tab/>
        <w:t xml:space="preserve"> </w:t>
        <w:tab/>
        <w:br/>
        <w:tab/>
        <w:t xml:space="preserve"> В подкрепа на визираните касационни основания се декларира безусловно съгласие с приетата за доказана фактология по делото и се излагат подробни съображения за неправилна интерпретация на очертаната във ВЗ (ВАЛУТЕН ЗАКОН) /ВЗ/, материалноправна уредба, довело до правните изводи на АС-Варна за престъпна несъставомерност на инкриминираното деяние на подсъдимите Б. П. и Д. П. по чл. 252, ал. 1 от НК.</w:t>
        <w:tab/>
        <w:br/>
        <w:tab/>
        <w:t xml:space="preserve"> </w:t>
        <w:tab/>
        <w:br/>
        <w:tab/>
        <w:t xml:space="preserve"> Поставя се акцент на установения в чл. 3, ал. 1, вр. чл. 17, ал. 1, б.”в” от ВЗ лицензионен /разрешителен/ режим за извършване на дейност като обменно бюро, и чрез тълкуване на т. 13 от Допълнителните разпоредби /ДР/ на ВЗ, и позоваване на константна съдебна практика, се аргументира изискуемия се от нормата на чл. 252, ал. 1 от НК обективен признак - системно осъществяване на процесните валутни сделки /”по занятие”/.</w:t>
        <w:tab/>
        <w:br/>
        <w:tab/>
        <w:t xml:space="preserve"> </w:t>
        <w:tab/>
        <w:br/>
        <w:tab/>
        <w:t xml:space="preserve"> Предлага се отмяна на атакувания съдебен акт и връщане на наказателното дело за ново разглеждане от Варненски АС.</w:t>
        <w:tab/>
        <w:br/>
        <w:tab/>
        <w:t xml:space="preserve"> </w:t>
        <w:tab/>
        <w:br/>
        <w:tab/>
        <w:t xml:space="preserve"> В съдебно заседание на 26.02.2015г. прокурор при Върховната касационна прокуратура не поддържа депозирания протест и убедително мотивира законосъобразност на постановената оправдателна присъда.</w:t>
        <w:tab/>
        <w:br/>
        <w:tab/>
        <w:t xml:space="preserve"> </w:t>
        <w:tab/>
        <w:br/>
        <w:tab/>
        <w:t xml:space="preserve"> В настоящото производство подсъдимите Б. П. и Д. П. участват лично и пледират въззивният акт да бъде оставен в сила.</w:t>
        <w:tab/>
        <w:br/>
        <w:tab/>
        <w:t xml:space="preserve"> </w:t>
        <w:tab/>
        <w:br/>
        <w:tab/>
        <w:t xml:space="preserve"> Върховният касационен съд, в пределите на упражнения по чл. 347 от НПК инстанционен контрол, за да се произнесе, взе предвид следното:</w:t>
        <w:tab/>
        <w:br/>
        <w:tab/>
        <w:t xml:space="preserve"> </w:t>
        <w:tab/>
        <w:br/>
        <w:tab/>
        <w:t xml:space="preserve"> С присъда №103 от 29.11.2013г., обявена по нохд №188/2013г., Силистренски окръжен съд /ОС/ е признал Б. В. П. и Д. Н. П. за виновни в това, че през периода от неустановени дати през 2011 година до месец януари 2012 година, в [населено място], при условията на съучастие в качеството на извършител и помагач, осъществили по занятие и в нарушение на чл. 3, ал. 1 от ВЗ финансови сделки – обмен на валута с физически лица, поради което и на основание чл. 252, вр. чл. 20, ал. 2 и 4 от НК ангажирал тяхната наказателна отговорност, с произтичащите от това санкционни последици - ДВЕ ГОДИНИ И ШЕСТ МЕСЕЦА лишаване от свобода за П. и ДВЕ ГОДИНИ лишаване от свобода за П., с приложение на института на условното осъждане по чл. 66 от НК.</w:t>
        <w:tab/>
        <w:br/>
        <w:tab/>
        <w:t xml:space="preserve"> </w:t>
        <w:tab/>
        <w:br/>
        <w:tab/>
        <w:t xml:space="preserve"> В обсега на инициирана от защитника на подсъдимите лица инстанционна проверка по внохд №225/2014г., Варненски АС е реализирал въззивните правомощия по чл. 334, т. 2, вр. чл. 336, ал. 1, т. 3 от НПК и със съдебен акт №4 от 10.10.2014г. ги оправдал по повдигнатото им обвинение.</w:t>
        <w:tab/>
        <w:br/>
        <w:tab/>
        <w:t xml:space="preserve"> </w:t>
        <w:tab/>
        <w:br/>
        <w:tab/>
        <w:t xml:space="preserve">Касационният протест е НЕОСНОВАТЕЛЕН.</w:t>
        <w:tab/>
        <w:br/>
        <w:tab/>
        <w:t xml:space="preserve"> </w:t>
        <w:tab/>
        <w:br/>
        <w:tab/>
        <w:t xml:space="preserve"> В рамките на описаната и приета за доказателствено обезпечена конкретика, правилно въззивната инстанция е приложила материалния закон. </w:t>
        <w:tab/>
        <w:br/>
        <w:tab/>
        <w:t xml:space="preserve"> </w:t>
        <w:tab/>
        <w:br/>
        <w:tab/>
        <w:t xml:space="preserve"> Консумирането на очертания в чл. 252, ал. 1 от НК престъпен състав предпоставя извършването без разрешение и по занятие на банкови, застрахователни или други финансови сделки, както и на платежни услуги. Визираната разпоредба представлява бланкет, диспозицията на която се запълва със съдържание от специалното законодателство-за банковите сделки от ЗКИ (ЗАКОН ЗА КРЕДИТНИТЕ ИНСТИТУЦИИ) /ЗКИ/, за застрахователните от Кодекса за застраховане /КЗ/, съответно за финансовите от различни нормативни актове, според техния вид и характер, като намиращите се в обхвата им сделки с чуждестранна валута по занятие, се уреждат от ВЗ /чл. 1, т. 3/.</w:t>
        <w:tab/>
        <w:br/>
        <w:tab/>
        <w:t xml:space="preserve"> </w:t>
        <w:tab/>
        <w:br/>
        <w:tab/>
        <w:t xml:space="preserve"> Цитираният закон очертава субектите, които могат да осъществяват валутни сделки, лимитира изискуемите се условия и ред за това, като надлежно дефинира релевантното за дейността понятие „по занятие”. </w:t>
        <w:tab/>
        <w:br/>
        <w:tab/>
        <w:t xml:space="preserve"> </w:t>
        <w:tab/>
        <w:br/>
        <w:tab/>
        <w:t xml:space="preserve"> Съгласно разпоредбата на чл. 3, ал. 1 от ВЗ сделки с валута в наличност по занятие може да извършва лице, регистрирано по ТЗ (ТЪРГОВСКИ ЗАКОН), както и лице, регистрирано като търговец по законодателството на държава-членка на Европейския съюз, или на друга държава-страна по споразумението на Европейското икономическо пространство, което е вписано в публичния регистър на лицата, осъществяващи дейност като обменно бюро. </w:t>
        <w:tab/>
        <w:br/>
        <w:tab/>
        <w:t xml:space="preserve"> </w:t>
        <w:tab/>
        <w:br/>
        <w:tab/>
        <w:t xml:space="preserve"> Вписването на посочените лица в регистъра на Министерство на финансите се извършва в 14-дневен срок от подаването на изброените в Наредба №4/08.08.2003г. документи и по предвидената в акта процедура.</w:t>
        <w:tab/>
        <w:br/>
        <w:tab/>
        <w:t xml:space="preserve"> </w:t>
        <w:tab/>
        <w:br/>
        <w:tab/>
        <w:t xml:space="preserve"> Внимателният прочит на действащата правна уредба, историческото й тълкуване в кореспондираща връзка с актуалната редакция на разпоредбата на чл. 3 от ВЗ до влизане в сила на промените с ДВ, бр. 24/2009г. и нейното съотнасяне с установения в ЗКИ и КЗ нормативен регламент, обосновава заключение за въведен регистрационен режим при валутните сделки. Видно от приложимите до 2009г. алинеи 6 - 8 на чл. 3 от ВЗ отм. и с ДВ, бр. 24/2009г./, изрично писмено разрешение се е изисквало за извършване на сделки с валута от финансовите къщи, осъществяващи по смисъла на т. 15 от ДР на ВЗ „по занятие сделки с чуждестранна валута в наличност и по безкасов начин”,но не и за обменните бюра по т. 14 от ДР на ВЗ, за дейността на които законодателят е възприел различен подход, сочещ само на задължение за регистрация. Категорични са и съдържимите се в чл. 13, ал. 1 от ЗКИ и чл. 8, ал. 1, чл. 10, ал. 1 и чл. 33, ал. 1 от КЗ правни предписания, императивно очертаващи необходимост от нарочен писмен лиценз от Българската народна банка и Комисията по финансов надзор при банковите и застрахователни сделки.</w:t>
        <w:tab/>
        <w:br/>
        <w:tab/>
        <w:t xml:space="preserve"> </w:t>
        <w:tab/>
        <w:br/>
        <w:tab/>
        <w:t xml:space="preserve"> Логическа последица от изложеното са формираните от въззивната инстанция изводи, че за извършването на валутни сделки според относимата уредба, в сила към настоящия момент, не е нужно визираното в чл. 252, ал. 1 от НК разрешение - елемент на обективната престъпна съставомерност на криминализираното посегателство против паричната и кредитна система, поради което и то е извън обсега на приложното поле на особената норма, предпоставяйки оправдаване на Б. П. и Д. П. по повдигнатото им от представителя на прокуратурата обвинение. </w:t>
        <w:tab/>
        <w:br/>
        <w:tab/>
        <w:t xml:space="preserve"> </w:t>
        <w:tab/>
        <w:br/>
        <w:tab/>
        <w:t xml:space="preserve"> Реализираните от подсъдимите действия по обмен на валута през инкриминирания период, при доказаната по делото фактология, че същите не са били регистрирани като търговци и не са вписани в публичния регистър към Министерство на финансите като лица, изпълняващи функциите на обменно бюро, не съставляват престъпление по чл. 252, ал. 1 от НК, а сочат на неправомерно поведение, което при системност на осъществяване субсумира състава на валутно нарушение, наказуемо при условията по чл. 18, ал. 2 от ВЗ и води до възможности за ангажиране на административната им отговорност.</w:t>
        <w:tab/>
        <w:br/>
        <w:tab/>
        <w:t xml:space="preserve"> </w:t>
        <w:tab/>
        <w:br/>
        <w:tab/>
        <w:t xml:space="preserve"> Убедителна е и мотивацията на Варненски АС за липса на кумулативно предвиденото в чл. 252, ал. 1 от НК изискване за упражняване на неправомерната дейност по занятие от подсъдимите лица.</w:t>
        <w:tab/>
        <w:br/>
        <w:tab/>
        <w:t xml:space="preserve"> </w:t>
        <w:tab/>
        <w:br/>
        <w:tab/>
        <w:t xml:space="preserve"> Професионално, с проявен юридически усет и въз основа на обстоен сравнителен анализ на сходни понятия в нормативната уредба, въззивната инстанция е изследвала дадената в т. 13 от ДР на ВЗ легална дефиниция на „извършване на сделки с чуждестранна валута по занятие”.</w:t>
        <w:tab/>
        <w:br/>
        <w:tab/>
        <w:t xml:space="preserve"> </w:t>
        <w:tab/>
        <w:br/>
        <w:tab/>
        <w:t xml:space="preserve"> Прецизната интерпретация на посочените Допълнителни разпоредби, в корелация с направения коментар на определенията „извършване по занятие на сделки с финансови инструменти” в Наредба №1 от 2003г. за изискванията към дейността на инвестиционните посредници /приета с ДВ, бр. 90/2003г./ и отменилата я Наредба №38 от 25.07.2007г./ обн.ДВ, бр. 67 от 17.08.2007г., в сила от 01.11.2007г./, внася яснота по отношение на обективираната в т. 13 от ДР на ВЗ воля и обуславя заключение за относимост на очертаната в б.”б” хипотеза, при разглеждания случай.</w:t>
        <w:tab/>
        <w:br/>
        <w:tab/>
        <w:t xml:space="preserve"> </w:t>
        <w:tab/>
        <w:br/>
        <w:tab/>
        <w:t xml:space="preserve"> Безспорната установеност, че подсъдимите П. са реализирали обмен на валута с 15 физически лица изключва и визирания в чл. 252, ал. 1, от НК признак - упражняване на дейността по занятие, доколкото т. 13, б.”б” от ДР на ВЗ предполага „извършване в продължение на една година на сделки с повече от 20 лица, които не са банки или обменни бюра”, като претендираното от прокурора правоприлагане на нормата на т. 13, б.”в” от ДР на ВЗ, при събраните в хода на разследването доказателства е несъстоятелно. Промяна в изведената позиция не налага и некоректно цитираната в депозирания протест съдебна практика, с предмет на обсъждане престъпното банково кредитиране - системното /повече от три пъти/ заемане на парични средства срещу насрещна материална облага /уговаряни и получавани лихви/, при липса на изискуемото се от ЗКИ разрешение, при което поради липса на специална уредба са приложими общите критерии. 1</w:t>
        <w:tab/>
        <w:br/>
        <w:tab/>
        <w:t xml:space="preserve"> </w:t>
        <w:tab/>
        <w:br/>
        <w:tab/>
        <w:t xml:space="preserve"> По предложените съображения, касационният състав счита, че в рамките на предоставената му компетентност в настоящото производство следва да остави в сила атакувания съдебен акт на Варненски АС, с който е отменена осъдителна присъда №103 от 29.11.2013г., по нохд №188/2013г. на ОС-Силистра и подсъдимите Б. П. и Д. П. са оправдани по обвинението за извършено престъпление по чл. 252, ал. 1 от НК. </w:t>
        <w:tab/>
        <w:br/>
        <w:tab/>
        <w:t xml:space="preserve"> </w:t>
        <w:tab/>
        <w:br/>
        <w:tab/>
        <w:t xml:space="preserve"> Воден от горното и на основание чл. 354, ал. 1, т. 1 от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въззивна присъда №4 от 10.10.2014г., постановена по внохд №225/2014г., по описа на АС-Варна.</w:t>
        <w:tab/>
        <w:br/>
        <w:tab/>
        <w:t xml:space="preserve"> </w:t>
        <w:tab/>
        <w:br/>
        <w:tab/>
        <w:t xml:space="preserve"> РЕШЕНИЕТО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ЧЛЕНОВЕ:1. 2. </w:t>
        <w:tab/>
        <w:br/>
        <w:tab/>
        <w:t xml:space="preserve"> </w:t>
        <w:tab/>
        <w:br/>
        <w:tab/>
        <w:t xml:space="preserve"> ___________________________________________________________________</w:t>
        <w:tab/>
        <w:br/>
        <w:tab/>
        <w:t xml:space="preserve"> </w:t>
        <w:tab/>
        <w:br/>
        <w:tab/>
        <w:t xml:space="preserve">1. Р№560 от 21.06.2005г. на ВКС на РБ, I-во н. о., по н. д.№1082/2004г.; Р№122 от 30.04.2009г. на ВКС на РБ, III-то н. о, по н. д.№88/2009г.; Р№147 от 30.03.2010г. на ВКС на РБ, III-то н. о., по н. д.№52/2010г.; Р№366 от 06.10.2011г. на ВКС на РБ, I-во н. о., по н. д.№1852/2011г.; Р№140 от 02.06.2011г. на ВКС на РБ, ІІ-ро н. о., по н. д.№28/2011г. ; Р№403 от 10.11.2011г. на ВКС на РБ, I-во н. о., по н. д.2055/2011г.; Р№416 от 18.02.2013г. на ВКС на РБ, I-во н. о., по н. д. №1265/2012г.; Р№438 от 04.06.2011г. на ВКС, I-во н. о., по н. д.№2303/2011г. ; Р№240 от 02.08.2013г. на ВКС на РБ, I-во н. о., по н. д.№705/2013г. ; Р№351 от 12.09.2013г. на ВКС на РБ, I-во н. о., по н. д. №1045/2013г.; Р№158 от 02.06.2014г. на ВКС на РБ, III-то н. о., по н. д. №378/2014г.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