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№604/20.10.2011 по гр. д. №417/2011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деветнадесети октомври,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№417/2011 г.</w:t>
        <w:tab/>
        <w:br/>
        <w:tab/>
        <w:t xml:space="preserve"/>
        <w:tab/>
        <w:br/>
        <w:tab/>
        <w:t xml:space="preserve">С определение №501 от 16.08.2011 г. по ч. гр. дело №417/2011 г. е спряно на основание чл. 309, ал. 1 ГПК във вр. с чл. 282, ал. 2, т. 1 ГПК изпълнението на влязло в сила решение №3524 от 15.06.2011 г. по гр. д. № 1010/2010 г. на Софийския градски съд, с което Л. П. Т., осъществяващ търговска дейност като [фирма] е осъден да заплати на И. Х. И., [населено място], сумите 51 579.22 лв. – уговорено адвокатско възнаграждение по договор от 03.10.2007 г. със законната лихва от 01.10.2008 г.; 3 420 лв. мораторна лихва и 2 205 лв. деловодни разноски, след като на 15.08.2011 г. е било внесено обезпечение по сметка на ВКС в размер на 79 526 лв.</w:t>
        <w:tab/>
        <w:br/>
        <w:tab/>
        <w:t xml:space="preserve"> </w:t>
        <w:tab/>
        <w:br/>
        <w:tab/>
        <w:t xml:space="preserve"> С молба от 26.09.2011 г. Л. П. Т., осъществяващ търговска дейност като [фирма], иска да бъде разпоредено на ЧСИ Р. В., рег. №*** да му върне внесената по нейна сметка сума 79 525.90 лв. по изп. дело №**************.</w:t>
        <w:tab/>
        <w:br/>
        <w:tab/>
        <w:t xml:space="preserve"> </w:t>
        <w:tab/>
        <w:br/>
        <w:tab/>
        <w:t xml:space="preserve"> В процедурата по чл. 309, ал. 1 ГПК във вр. с чл. 282, ал. 2, т. 1 ГПК по спиране изпълнението на влязло в сила решение ВКС няма правомощия да разпорежда на ЧСИ да освободи постъпили по изпълнителното дело суми. Компетентен да направи това е самият частен съдебен изпълнител, който следва да съобрази обстоятелството, че вече има внесено парично обезпечение по сметката на ВКС в размер на 79 526 лв.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ОТХВЪРЛЯ молбата на Л. П. Т., осъществяващ търговска дейност като [фирма], за разпореждане на ЧСИ Р. В., рег. №*** да върне внесената по нейна сметка сума 79 525.90 лв. по изп. дело №**************.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