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№121/25.10.2010 по нак. д. №563/2010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първо наказателно отделение, в закрито заседание на двадесет и пети октомври две хиляди и десета година, в състав:</w:t>
        <w:tab/>
        <w:br/>
        <w:tab/>
        <w:t xml:space="preserve"> </w:t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Николай Дърмонски</w:t>
        <w:tab/>
        <w:br/>
        <w:tab/>
        <w:t xml:space="preserve"/>
        <w:tab/>
        <w:br/>
        <w:tab/>
        <w:t xml:space="preserve">с участието на прокурора Атанас Гебрев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563 по описа за 2010 година.</w:t>
        <w:tab/>
        <w:br/>
        <w:tab/>
        <w:t xml:space="preserve"> </w:t>
        <w:tab/>
        <w:br/>
        <w:tab/>
        <w:t xml:space="preserve"> С разпореждане № 457 от 04.10.2010 г. съдия-докладчик при Районен съд-гр.Търговище прекратил съдебното производство по нохд № 685/10 г., образувано по обвинителен акт срещу М. С. М. за престъпление по чл. 131а НК. Със същото разпореждане делото е изпратено на ВКС по компетентност с оглед приложението на чл. 43, т. 1 НПК.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писмено е изразил становище за основателност на направеното искане.</w:t>
        <w:tab/>
        <w:br/>
        <w:tab/>
        <w:t xml:space="preserve"> </w:t>
        <w:tab/>
        <w:br/>
        <w:tab/>
        <w:t xml:space="preserve"> Като съобрази горното и след проверка ВКС, І-во наказателно отделение установи: не са налице условия за промяна на подсъдността. Изискването за „много” по смисъла на чл. 43, т. 1 НПК предполага съответно съотношение между най-малко две групи лица (обвиняеми и свидетели), каквото в настоящият случай не е налице. Съотношението 5 спрямо 7, не изпълва съдържанието на изискването, визирано в закона.</w:t>
        <w:tab/>
        <w:br/>
        <w:tab/>
        <w:t xml:space="preserve"> </w:t>
        <w:tab/>
        <w:br/>
        <w:tab/>
        <w:t xml:space="preserve"> Водим от горното ВКС, І-во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УВАЖЕНИЕ искането на Районен съд-гр.Търговище.</w:t>
        <w:tab/>
        <w:br/>
        <w:tab/>
        <w:t xml:space="preserve"> </w:t>
        <w:tab/>
        <w:br/>
        <w:tab/>
        <w:t xml:space="preserve"> Делото да се върне на същия съд.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