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№5080/09.11.2022 по гр. д. №1698/2022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50800</w:t>
        <w:tab/>
        <w:br/>
        <w:tab/>
        <w:t xml:space="preserve"/>
        <w:tab/>
        <w:br/>
        <w:tab/>
        <w:t xml:space="preserve">гр. София, 09.11.2022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седми ноември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/>
        <w:tab/>
        <w:br/>
        <w:tab/>
        <w:t xml:space="preserve"> ЧЛЕНОВЕ: 1. В. П </w:t>
        <w:tab/>
        <w:br/>
        <w:tab/>
        <w:t xml:space="preserve"/>
        <w:tab/>
        <w:br/>
        <w:tab/>
        <w:t xml:space="preserve"> 2.Д. П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1698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Ц. Р. Д. против решение № 10531/24.09.2021 г., постановено по гр. д.№ 1370/2020 г. от Х-ти състав на САС.</w:t>
        <w:tab/>
        <w:br/>
        <w:tab/>
        <w:t xml:space="preserve"/>
        <w:tab/>
        <w:br/>
        <w:tab/>
        <w:t xml:space="preserve"> Ответникът по касационната жалба не е представил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решение, съдът е приел, че справедливо обезщетение по предявения иск с правно основание чл. 2, ал. 1, т. 3 ЗОДОВ е в размер на 5 000 лева, за продължилото против ищеца наказателно производство по обвинение в тежко умишлено престъпление в продължение на около 10 г., в т. ч. и повече от една година с взета мярка за неотклонение „задържане под стража“.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касационното обжалване се сочи правен въпрос, длъжен ли е съдът да изложи мотиви относно обстоятелствата, които са го довели до извод за по нисък размер на обезщетението от обичайния такъв, както и относно критериите при определяне на обезщетение за неимуществени вреди. Съдът не е изложил мотиви в тази насока, поради което на основание чл. 280, ал. 1, т. 1 ГПК, предвид представените решения на ВКС, в които е прието обратното, касационното обжалване следва да се допусне.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касационно обжалване на решение № 10531/24.09.2021 г., постановено по гр. д.№ 1370/2020 г. от Х-ти състав на САС.</w:t>
        <w:tab/>
        <w:br/>
        <w:tab/>
        <w:t xml:space="preserve"/>
        <w:tab/>
        <w:br/>
        <w:tab/>
        <w:t xml:space="preserve"> Указва на Ц. Р. Д. да внесе по сметката на ВКС държавна такса в размер на 5 лева, като в едноседмичен срок представи доказателства за внасянето, в противен случай касационното производство ще бъде прекратено.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