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№280/08.05.2019 по търг. д. №2726/2018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280</w:t>
        <w:tab/>
        <w:br/>
        <w:tab/>
        <w:t xml:space="preserve"> </w:t>
        <w:tab/>
        <w:br/>
        <w:tab/>
        <w:t xml:space="preserve">гр. София, 08.05.2019 г.</w:t>
        <w:tab/>
        <w:br/>
        <w:tab/>
        <w:t xml:space="preserve"> </w:t>
        <w:tab/>
        <w:br/>
        <w:tab/>
        <w:t xml:space="preserve">ВЪРХОВЕН КАСАЦИОНЕН СЪД, ТЪРГОВСКА КОЛЕГИЯ, второ отделение в закрито заседание на 17 април, две хиляди и деветнадесета година, в състав:</w:t>
        <w:tab/>
        <w:br/>
        <w:tab/>
        <w:t xml:space="preserve"> </w:t>
        <w:tab/>
        <w:br/>
        <w:tab/>
        <w:t xml:space="preserve">ПРЕДСЕДАТЕЛ:ТАТЯНА ВЪРБАНОВА </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 Б търговско дело №2726/18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„А. М”ЕООД срещу решение №1499 от 18.06.2018 г. по т. д. № 734/17 на САС,ТО, 3 ти с-в, с което е потвърдено решение № 1620/23.08. 2016 г. на СГС,6-16 с-в, постановено по т. д. №7529/2013 г., с което е касаторът е бил осъден да заплати на „Музикаутор”-гр. София сумата от 7 000 лева-обезщетение за имуществени вреди на основание чл. 94а ЗАПСП във връзка с чл. 94 ЗАПСП за използване от страна на ответното дружество през периода 20.05.2013 г. -21.11.2013 г. на подробно описаните музикални произведения/текст и музика/ без право на това, както и в частта с която въззивният съд, след отмяна на същото решение в отхвърлителната част, е присъдил в полза на ищеца допълнително още 21 000 лева на същото основание, както и в частта за разноските.</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чл. 280 ал. 1, т. 1 и ал. 2 ГПК.</w:t>
        <w:tab/>
        <w:br/>
        <w:tab/>
        <w:t xml:space="preserve"> </w:t>
        <w:tab/>
        <w:br/>
        <w:tab/>
        <w:t xml:space="preserve">От страна на ответника по касационната жалба не е подаден писмен отговор.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съдът е приел, че ищецът е регистриран по реда на чл. 40б ал. 1 ЗАПСП/ред. ДВ бр. 25/11/ като организация за колективно управление на авторски права върху музикални произведения и литературни такива свързани с музика, съответно уредени по вид и обхват в чл. 18 ал. 1, т. 1 ЗАПСП,чл. 18 ал. 2, т. 2, т. 3, т. 4, т. 5, т. 8 и т. 10 ЗАПСП. Правата на ищеца „Музикаутор” на колективно управление на авторските права върху текста и музиката на процесните произведения се основават на приетите по делото договори за двустранно представителство с конкретно посочените чуждестранни дружества за колективно управление на правата на членуващите в тях автори, въз основа на които на ищеца е предоставено управлението на авторските права върху музиката и текста на процесните музикални произведения на територията на страната, което обосновава и активната процесуална и материална легитимация на ищеца по настоящите искове. </w:t>
        <w:tab/>
        <w:br/>
        <w:tab/>
        <w:t xml:space="preserve"> </w:t>
        <w:tab/>
        <w:br/>
        <w:tab/>
        <w:t xml:space="preserve">От друга страна по реда на чл. 146 ал. 1, т. 3 и т. 4 ГПК е прието за безспорно между страните, че произведенията, общо 14 на брой, са били използвани от ответното дружество чрез предлагането им на неговия сайт: acordbg.com/music.dance.htm и същите са били достъпни за ползване /възпроизвеждане и разпространение/ от външни потребители през процесния период, което се потвърждава и от заключението на в. л. по назначената експертиза. Такова ползване представлява нарушение на изключителните права на авторите на музиката и текста на съответните музикални произведения, които са изрично уредени в чл. 18 ал. 1 ЗАПСП чрез възпроизвеждането им по смисъла на пар. 2, т. 3 и т. 4 от ДР на ЗАПСП.</w:t>
        <w:tab/>
        <w:br/>
        <w:tab/>
        <w:t xml:space="preserve"> </w:t>
        <w:tab/>
        <w:br/>
        <w:tab/>
        <w:t xml:space="preserve">При така констатираните факти, съдът е направил извод за принципната основателност на исковите претенции, а конкретният размер на дължимото, съгласно чл. 94 ЗАПСП обезщетение, е определен на основание чл. 94а ал. 1, т. 1 ЗАПСП, при съблюдаване на съответните критерии в чл. 94 ал. 3 и ал. 4 ЗАПСП, към които първата разпоредба изрично препраща при липса на достатъчно данни за реалния размер на вредите. Обезщетението е определено от съда на по 1000 лева, съответно за неправомерното ползване на текста и още толкова - за музиката на всяко едно от музикалните произведения.</w:t>
        <w:tab/>
        <w:br/>
        <w:tab/>
        <w:t xml:space="preserve"> </w:t>
        <w:tab/>
        <w:br/>
        <w:tab/>
        <w:t xml:space="preserve">В изложение на основанията за допускане до касационно обжалване, от страна на жалбоподателя се сочат като обуславящи изхода на спора въпроси, които обобщено се свеждат до три такива: следва ли ищецът като организация за колективно управление на авторски права / съкр. ОКУАП/ върху музикални произведения и литературни такива свързани с музика, да доказва отстъпване на правата върху конкретно произведение от страна на авторите на музиката и текста на съответната ОКУАП, с която ищцовата ОКУАП има сключен договор, съответно да установи членството на авторите в последната и как следва да се определи обезщетението за нарушени авторски права.</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w:t>
        <w:tab/>
        <w:br/>
        <w:tab/>
        <w:t xml:space="preserve"> </w:t>
        <w:tab/>
        <w:br/>
        <w:tab/>
        <w:t xml:space="preserve">Първият от така поставените въпроси би имал значение за изхода на спора само при надлежното и своевременно оспорване от страна на ответника в отговора по чл. 131 ГПК на ИМ на правата на ищцовата ОКУАП, основани на приложените и описани в ИМ договори за двустранно представителство с конкретно посочените чуждестранни дружества за колективно управление, което не е налице в рамките на настоящия процес. Въззивният съд е счел за налична материалноправната легитимация на ищеца като ОКУАП, базирайки се на съдържанието на споменатите договори и не е обсъждал съответното й оспорване от страна на ответника, тъй като такова не е било надлежно и своевременно релевирано. Следователно така формулираните въпроси не се явяват обуславящи изхода по спора, така както последният е бил очертан по своя предмет с ИМ, отговора на същата и материализиран в изготвения и приет доклад по делото.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както изрично приема ОСГТК на ВКС в цитираното по-горе ТР.</w:t>
        <w:tab/>
        <w:br/>
        <w:tab/>
        <w:t xml:space="preserve"> </w:t>
        <w:tab/>
        <w:br/>
        <w:tab/>
        <w:t xml:space="preserve">Въпросът, как следва да се определи обезщетението за нарушени авторски права при липса на достатъчно данни за реалния му размер се явява обект на ясна законова регламентация в чл. чл. 94а ал. 1, т. 1 ЗАПСП, във връзка с чл. 94 ал. 3 и ал. 4 ЗАПСП и следователно спрямо него не е налице допълнителното изискване на чл. 280 ал. 1, т. 3 ГПК за допускане до касация: необходимост от тълкуване на неясна правна разпоредба или преодоляване на погрешно или исторически необосновано тълкуване съдебната практика/ впрочем касаторът и не излага подобни доводи/.</w:t>
        <w:tab/>
        <w:br/>
        <w:tab/>
        <w:t xml:space="preserve"> </w:t>
        <w:tab/>
        <w:br/>
        <w:tab/>
        <w:t xml:space="preserve">Следователно не се обосновава наличие на основание за допускане до касация, съгласно чл. 280 ал. 1, т. 3 ГПК.</w:t>
        <w:tab/>
        <w:br/>
        <w:tab/>
        <w:t xml:space="preserve"> </w:t>
        <w:tab/>
        <w:br/>
        <w:tab/>
        <w:t xml:space="preserve">Водим от изложеното, съдът</w:t>
        <w:tab/>
        <w:br/>
        <w:tab/>
        <w:t xml:space="preserve"> </w:t>
        <w:tab/>
        <w:br/>
        <w:tab/>
        <w:t xml:space="preserve">ОПРЕДЕЛИ:НЕ ДОПУСКА касационно обжалване на въззивно решение №1499 от 18.06.2018 г. по т. д. № 734/17 на САС,ТО, 3- ти с-в.</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