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№7088/13.07.2022 по адм. д. №2927/2022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7088 София, 13.07.2022 г. В ИМЕТО НА НАРОДА</w:t>
        <w:tab/>
        <w:br/>
        <w:tab/>
        <w:t xml:space="preserve">Върховният административен съд на Република България - Седмо отделение, в съдебно заседание на шестнадесети май две хиляди и двадесет и втора година в състав: ПРЕДСЕДАТЕЛ: ВАНЯ АНЧЕВА ЧЛЕНОВЕ: МИРОСЛАВА ГЕОРГИЕВА ЮЛИЯ РАЕВА при секретар Маринела Цветанова и с участието на прокурора Даниела Попова изслуша докладваното от съдията Юлия Раева по административно дело № 2927 / 2022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Наука и образование за интелигентен растеж (ОП НОИР) 2014-2020 г., подадена чрез юрк. И. Божинов, срещу Решение № 180 от 18.02.2022 г. на Административен съд София-област по адм. дело № 695/2021 г., с което е отменено негово Решение № 1103-162 от 24.06.2021 г. за отказ за верификация на разходи в общ размер на 14 770,78 лв. по искане за плащане № 4 от 22.01.2018 г. на Сдружение За равен старт [ЕИК] по проект Различни, но заедно, процедура Подкрепа за предучилищното възпитание и подготовка на деца в неравностойно положение.</w:t>
        <w:tab/>
        <w:br/>
        <w:tab/>
        <w:t xml:space="preserve">Касационният жалбоподател сочи, че решението е неправилно поради нарушение на материалния закон, съществено нарушение на съдопроизводствените правила и необоснованост. По т. 1 от отказа за верификация има оплаквания, че съдът не е изложил собствени фактически и правни изводи, а по т. 2 и 3 от отказа, че съдът въобще не е извършил проверка на законосъобразността на отказа, но въпреки това го е отменил. Касационният жалбоподател моли обжалваното решение да бъде отменено и делото да бъде върнато за ново разглеждане или вместо него да бъде постановено друго за отхвърляне на жалбата срещу административния акт, както и присъждане на разноски по делото.</w:t>
        <w:tab/>
        <w:br/>
        <w:tab/>
        <w:t xml:space="preserve">Ответникът Сдружение За равен старт, чрез процесуалния си представител изразява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АПК, намира за установено следното:</w:t>
        <w:tab/>
        <w:br/>
        <w:tab/>
        <w:t xml:space="preserve">Касационната жалба е процесуално допустима, като подадена от надлежна страна, при спазване на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С обжалваното решение съдът е отменил Решение № 1103-162 от 24.06.2021 г. на ръководителя на УО на ОП НОИР 2014-2020 г. за отказ за верификация по искане за плащане № 4 от 22.01.2018 г. на Сдружение За равен старт [ЕИК] по проект Различни, но заедно, процедура Подкрепа за предучилищното възпитание и подготовка на деца в неравностойно положение в общ размер на 14 770,78 лв.</w:t>
        <w:tab/>
        <w:br/>
        <w:tab/>
        <w:t xml:space="preserve">Административният акт е издаден след отмяната с окончателно Решение № 15343 от 10.12.2020 г. по адм. дело № 7923/2020 на ВАС на предходния отказ на верификация на същата сума.</w:t>
        <w:tab/>
        <w:br/>
        <w:tab/>
        <w:t xml:space="preserve">С процесния административен акт е постановен отказ за верификация на следните разходи:</w:t>
        <w:tab/>
        <w:br/>
        <w:tab/>
        <w:t xml:space="preserve">1. разходи в размер на 11 530,00 лв. на основание чл. 57, ал. 1, т. 2 от Закона за управление на средствата от Европейските структурни и инвестиционни фондове (ЗУСЕСИФ) във връзка с т. 14.1 от Условия за допустимост на разходите, подточка 8 от Насоките за кандидатстване;</w:t>
        <w:tab/>
        <w:br/>
        <w:tab/>
        <w:t xml:space="preserve">2. разходи в размер на 274,78 лв. на основание чл. 57, ал. 1, т. 4 ЗУСЕСИФ във вр. с чл. 7, ал. 2, т. 1 от Постановление № 189 на Министерския съвет от 28.07.2016 г. за определяне на национални правила за допустимост на разходите по програми, съфинансирани от Европейските структурни и инвестиционни фондове, за програмен период 2014 2020 г. (ПМС № 189), представляващи превишение на разходите за информация и комуникация;</w:t>
        <w:tab/>
        <w:br/>
        <w:tab/>
        <w:t xml:space="preserve">3. разходи в размер на 2 966,00 лв. на основание чл. 57, ал. 1, т. 4 ЗУСЕСИФ във вр. с чл. 7, ал. 2, т. 4 ПМС № 189, представляващи превишение на разходите за организация и управление.</w:t>
        <w:tab/>
        <w:br/>
        <w:tab/>
        <w:t xml:space="preserve">Отказът за верификация по т. 1 е обоснован с мотиви, че в секция 8 План за изпълнение/дейности по проект от приложение II Формуляр за кандидатстване към административния договор за финансиране на проекта, поле Описание към дейност 6 Организиране и осъществяване на информационни кампании за етническа толерантност в ОДЗ Е.Шомова [населено място] е записан следният текст: Темите на кръглата маса ще бъдат: Образователната интеграция на етническите малцинства и Интеграция при извънучилищна дейност. По време на семинарите ще бъдат представени различили гледни точки и различни аспекти по отношение на интеграцията на етническите малцинства в образователната система. Ще се повиши информираността в обществото за ползите от практикуване на добродетелите за личностното израстване на младите хора. В изпълнението на дейността са предвидени следните основни теми, които ще бъдат обсъдени по време на кръглите маси и семинари:</w:t>
        <w:tab/>
        <w:br/>
        <w:tab/>
        <w:t xml:space="preserve">1. Образованието и извънкласните форми на обучение - средство за съхраняване на етнокултурната идентичност на децата от малцинствените етнически общности.</w:t>
        <w:tab/>
        <w:br/>
        <w:tab/>
        <w:t xml:space="preserve">2. Културното многообразие - източник за взаимно опознаване и духовно развитие на децата.</w:t>
        <w:tab/>
        <w:br/>
        <w:tab/>
        <w:t xml:space="preserve">3. Създаване на предпоставки за по-успешна социализация на децата от различните малцинствени етнически общности.</w:t>
        <w:tab/>
        <w:br/>
        <w:tab/>
        <w:t xml:space="preserve">4. Включване на родителите във възпитателния процес.</w:t>
        <w:tab/>
        <w:br/>
        <w:tab/>
        <w:t xml:space="preserve">5. Интеграция - умението да приемеш различния.</w:t>
        <w:tab/>
        <w:br/>
        <w:tab/>
        <w:t xml:space="preserve">6. Засилване на мотивацията на деца и родители за участие в образователния процес (постъпване в първи клас).</w:t>
        <w:tab/>
        <w:br/>
        <w:tab/>
        <w:t xml:space="preserve">С техническия отчет, секция 8 Опис на документи към подаденото искане за плащане № 4/22.01.2018 г. са представени документи относно изпълнението на дейност 6. Съгласно представените документи за проведените кръгли маси темите, които са били разгледани, са както следва:</w:t>
        <w:tab/>
        <w:br/>
        <w:tab/>
        <w:t xml:space="preserve">На 17.10.2017 г. (проведена кръгла маса):</w:t>
        <w:tab/>
        <w:br/>
        <w:tab/>
        <w:t xml:space="preserve">1. Здравна стратегия за лица в неравностойно положение, принадлежащи към етническите малцинства.</w:t>
        <w:tab/>
        <w:br/>
        <w:tab/>
        <w:t xml:space="preserve">2. Преодоляване и преустановяване негативните тенденции за здравето на лицата в неравностойно положение, принадлежащи към етнически малцинства.</w:t>
        <w:tab/>
        <w:br/>
        <w:tab/>
        <w:t xml:space="preserve">На 11.12.2017 г. (проведена кръгла маса):</w:t>
        <w:tab/>
        <w:br/>
        <w:tab/>
        <w:t xml:space="preserve">1. Наследствени заболявания.</w:t>
        <w:tab/>
        <w:br/>
        <w:tab/>
        <w:t xml:space="preserve">2. Дейности, свързани с подобряване здравето на лицата, принадлежащи към етническите малцинства в неравностойно положение.</w:t>
        <w:tab/>
        <w:br/>
        <w:tab/>
        <w:t xml:space="preserve">След проверка на приложените документи към техническия отчет (програма и лекционен материал) административният орган е приел, че проведените две кръгли маси са били изцяло насочени към здравната стратегия за лица в неравностойно положение, подобряване здравето на лицата, преодоляване на негативните тенденции за здравето на лицата в неравностойно положение. Това са теми насочени изцяло към проблеми свързани в областта на здравеопазването, а не на образованието. Разглежданите въпроси и тематики на двете кръгли маси не отговарят както на заложените теми, така и целите, посочени в поле Описание, дейност 6, а именно ,,гарантирането на устойчивост на резултатите от проекта чрез повишаване на информираността по отношение на интеграцията в образованието на етническите малцинства, както на целевите групи, така и представителите на заинтересованите страни.</w:t>
        <w:tab/>
        <w:br/>
        <w:tab/>
        <w:t xml:space="preserve">Съгласно представените документи за проведения семинар темите, които са били разгледани са както следва:</w:t>
        <w:tab/>
        <w:br/>
        <w:tab/>
        <w:t xml:space="preserve">На 14.11.2017 г. (темите на семинара):</w:t>
        <w:tab/>
        <w:br/>
        <w:tab/>
        <w:t xml:space="preserve">1. Управление на конфликт.</w:t>
        <w:tab/>
        <w:br/>
        <w:tab/>
        <w:t xml:space="preserve">2. Правата на човека.</w:t>
        <w:tab/>
        <w:br/>
        <w:tab/>
        <w:t xml:space="preserve">3. Християнство и ислям - две напълно различни религии. Къде е истината?</w:t>
        <w:tab/>
        <w:br/>
        <w:tab/>
        <w:t xml:space="preserve">При сравнение на горепосочените теми и представените материали от семинара (програма и работни материали) по отчитането на дейността административният орган е приел, че те не отговарят на предварително заложените такива в договора за БФП, посочени в секция 8 План за изпълнение/дейности по проект, Дейност 6. Проведените събития са били ориентирани към различна тематика, което по същество не съответства на предвиденото изпълнение на дейност 6.</w:t>
        <w:tab/>
        <w:br/>
        <w:tab/>
        <w:t xml:space="preserve">Относно темите на кръгла маса на 17.10.2017 г. и на 11.12.2017 г. административният орган е отбелязал, че посочването на термини като лица в неравностойно положение и етнически малцинства в заглавието не води автоматично до съответствие с поставените цели и приоритети. Здравната стратегия и преодоляването на негативни тенденции за здравето на лицата в неравностойно положение/от етнически малцинства, макар безспорно да е сериозна тема, няма отношение към образователната интеграция.</w:t>
        <w:tab/>
        <w:br/>
        <w:tab/>
        <w:t xml:space="preserve">Относно темите на семинара на 14.11.2017 г. административният орган е посочил, че управлението на конфликт и правата на човека, както и противопоставянето/сравнението на два вида теология сами по себе си са прекалено обширни и широки теми, които биха могли да се отнесат към различни аспекти на социума, но отново не съответстват на условията за допустимост, доколкото не са ориентирани към проблема за образователната интеграция на уязвими групи. Сравнението между две религиозни доктрини и анализиране им като такива е различно от преодоляването на дискриминация, основана на религиозна принадлежност, разгледана в контекста на образователната интеграция. Същото се отнася и до останалите две теми. Аналитичното изследване на понятията, историческите справки и юридическа рамка по отношение на тези понятия не кореспондират към въпроса за образователна интеграция на уязвими групи. Съгласно представените материали информацията по отношение на тези теми е насочена към анализ на самите понятия, а не е обвързана по никакъв начин с проблемите по отношение на достъпа до образование и социално-икономическата интеграция на маргинализирани групи в образованието в България.</w:t>
        <w:tab/>
        <w:br/>
        <w:tab/>
        <w:t xml:space="preserve">В заключение административният орган е посочил, че отчетените разходи за кръгли маси и семинар са недопустими на основание чл. 57, ал. 1, т. 2 ЗУСЕСИФ във връзка с т.14.1. Условия за допустимост на разходите, подточка 8 от Насоките.</w:t>
        <w:tab/>
        <w:br/>
        <w:tab/>
        <w:t xml:space="preserve">Относно т. 2 от отказа мотивите на органа са, че в бюджетен раздел III. Разходи за услуги, бюджетен ред 9.1 Разходи за провеждане на публични събития - информационна среща и заключителна конференция към момента на проверката са отчетени разходи в общ размер на 4 034 лв. Допустимият размер на разходите за информация и комуникация е определен в чл. 7, ал. 2, т. 1 от Постановление на Министерски съвет № 189/2016 г.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2014-2020 г. (ПМС № 189/2016 г.). Съгласно посочената разпоредба разходите за информация и комуникация са до 2 на сто от общите допустими разходи за проекти, при които размерът на финансовата подкрепа не превишава левовата равностойност на 100 000 евро, и до 1 на сто от общите допустими разходи - за всички останали проекти. Предвид общият размер на допустимите разходи по проекта в размер на 76 844,35 лв. допустимият за верифициране размер на разходите за информация и комуникация е не повече от 1 536,89 лв., представляващи 2 % от общите допустими разходи. В бележка под линия на страница 25 от Насоките за кандидатстване по процедура BG05M20P001-3.2015-002 Подкрепа за предучилищното възпитание и подготовка на деца в неравностойно положение е посочено, че при окончателното възстановяване на действително направените и платени допустими разходи, максималният размер на разходите за публичност и визуализация се ограничава до съответния процент от общите допустими разходи по проекта. В случая сумата от 274,78 лв. надхвърля определения размер от 2 % от общите допустими разходи, поради което се явява недопустим разход на основание чл. 57, ал. 1, т. 4 ЗУСЕСИФ във връзка с чл. 7, ал. 2, т. 1 от ПМС № 189/2016 г. и чл.64, ал.З от ЗУСЕСИФ.</w:t>
        <w:tab/>
        <w:br/>
        <w:tab/>
        <w:t xml:space="preserve">Относно т. 3 от отказа мотивите са, че в бюджетен раздел V Непреки разходи, бюджетен ред 12. Разходи за организация и управление към момента на проверката са отчетени разходи в общ размер на 10 650,44 лв. Допустимият размер на разходите за организация и управление е определен в чл. 7, ал. 2, т. 4 от ПМС № 189/2016 г. Съгласно посочената разпоредба разходите за организация и управление са до 10 на сто от общите допустими разходи по проекта. В бележка под линия на страница 27 от Насоките за кандидатстване по горепосочената процедура е посочено, че при окончателното възстановяване на действително направените и платени допустими разходи максималният размер за непреки разходи се ограничава до десет процента от общите допустими разходи по проекта. Предвид общия размер на допустимите разходи по проекта в размер на 76 844,35 лв. допустимият за верифициране размер на разходите за организация и управление е не повече от 7 684,44 лв., представляващи 10 % от общите допустими разходи. Сумата от 2 966 лв. надхвърля определения размер от 10 % от общите допустими разходи, поради което се явява недопустим разход на основание чл. 57, ал. 1, т. 4 ЗУСЕСИФ във връзка с чл. 7, ал. 2, т. 4 от ПМС № 189/2016 г.</w:t>
        <w:tab/>
        <w:br/>
        <w:tab/>
        <w:t xml:space="preserve">В обжалваното съдебно решение е възпроизведено подробно съдържанието на Решение № 15343 от 10.12.2020 г. по адм. дело № 7923/2020 на ВАС, като крайният извод на съда е, че административният акт не съответства на дадените в него задължителните указания по тълкуването и прилагането на закона.</w:t>
        <w:tab/>
        <w:br/>
        <w:tab/>
        <w:t xml:space="preserve">Решението е неправилно поради допуснато съществено нарушение на съдопроизводствените правила.</w:t>
        <w:tab/>
        <w:br/>
        <w:tab/>
        <w:t xml:space="preserve">Решаващите мотиви за отмяна на предходния отказ за верификация на същата сума, изложени в Решение № 15343 от 10.12.2020 г. по адм. дело № 7923/2020 на ВАС, се състоят в това, че описаните в отказа фактически и правни основания не са достатъчно конкретизирани. Видно от съдържанието на повторно издадения отказ, същият не страда от същия порок, от който е бил засегнат първият отказ. Мотивите за процесния отказ за верификация на разходи в общ размер на 14 770,78 лв. са обособени в три точки, като във всяка една от тях са изложени относимите според органа фактически и правни основания. Не е налице липса на фактически и правни основания, за да се приеме, че е нарушено изискването за форма на акта по смисъла на чл. 59, ал. 2, т. 4 АПК, поради което съдът е следвало да извърши проверка на материалната законосъобразност на акта, но не е сторил това. По т. 1 от отказа съдът не е извършил фактически установявания и анализ на приложимите правни норми, нито е обсъдил становищата на страните. Възпроизвеждането на съдържанието на предходното решение на ВАС не представлява изпълнение на задължението на съда по чл. 172а, ал. 2 АПК да изложи собствени мотиви, в които да посочи становищата на страните, фактите по делото и правните си изводи. При проверка на преписката касационната инстанция установи също така, че Насоките за кандидатстване са представени в непълен вид, като липсва точно относимата от тях част, цитирана в административния акт - подточка 8 от т. 14.1 от Условия за допустимост на разходите. За отмяната на отказа в частта му на т. 2 Разходи за услуги и т. 3 Непреки разходи съдебното решение не съдържа никакви мотиви.</w:t>
        <w:tab/>
        <w:br/>
        <w:tab/>
        <w:t xml:space="preserve">Неизпълнението на задълженията на съда по чл. 152, ал. 4 и чл. 172а, ал. 2 АПК е довело до постановяване на решение, без да са изяснени релевантните факти и обстоятелства, с което е допуснато съществено нарушение съдопроизводствените правила - касационно основание по чл. 209, т. 3, предл. 2 АПК. Обжалваното решение е неправилно и следва да бъде отменено. Делото следва да бъде върнато на друг състав от същия съд за ново разглеждане. При новото разглеждане съдът следва да изиска Насоките за кандидатстване в приложимата редакция, да установи всички факти и обстоятелства от значение за решаване на делото и да извърши проверка на законосъобразността на акта на всички основания по чл. 146 АПК в съответствие с чл. 168 АПК.</w:t>
        <w:tab/>
        <w:br/>
        <w:tab/>
        <w:t xml:space="preserve">По аргумент от чл. 226, ал. 3 от АПК настоящата инстанция не следва да се произнася по исканията на страните във връзка с разноските. Разноските за производството пред тази инстанция следва да бъдат присъдени от първоинстанционния съд.</w:t>
        <w:tab/>
        <w:br/>
        <w:tab/>
        <w:t xml:space="preserve">Водим от горното и на основание чл. 221, ал. 2 и чл. 222, ал. 2, т. 1 АПК, Върховният административен съд, седмо отделение</w:t>
        <w:tab/>
        <w:br/>
        <w:tab/>
        <w:t xml:space="preserve">РЕШИ:</w:t>
        <w:tab/>
        <w:br/>
        <w:tab/>
        <w:t xml:space="preserve">ОТМЕНЯ Решение № 180 от 18.02.2022 г. на Административен съд София-област по адм. дело № 695/2021 г.</w:t>
        <w:tab/>
        <w:br/>
        <w:tab/>
        <w:t xml:space="preserve">ВРЪЩА делото за ново разглеждане от друг състав на същия съд.</w:t>
        <w:tab/>
        <w:br/>
        <w:tab/>
        <w:t xml:space="preserve">Решението e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