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№163/17.10.2016 по гр. д. №4751/2015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№163</w:t>
        <w:tab/>
        <w:br/>
        <w:tab/>
        <w:t xml:space="preserve"> </w:t>
        <w:tab/>
        <w:br/>
        <w:tab/>
        <w:t xml:space="preserve"> гр. Сифия, 17.10.2016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тринадесети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4751 по описа за 2015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247 ГПК.</w:t>
        <w:tab/>
        <w:br/>
        <w:tab/>
        <w:t xml:space="preserve"> </w:t>
        <w:tab/>
        <w:br/>
        <w:tab/>
        <w:t xml:space="preserve"> С молба от 17.08.2016г. пълномощниците на Българска академия на науките - жалбоподател по делото са поискали да бъдат поправени допуснати в решението от 27.05.2016г. грешки при описание на поземлените имоти, посочени с №№ 2, 3 и 4 в диспозитива на решението. </w:t>
        <w:tab/>
        <w:br/>
        <w:tab/>
        <w:t xml:space="preserve"> </w:t>
        <w:tab/>
        <w:br/>
        <w:tab/>
        <w:t xml:space="preserve"> Ответникът [фирма], представляван от Г. Я. Г., не възразява срещу исканите поправки.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молбата и след проверка на постановеното решение приема следното: </w:t>
        <w:tab/>
        <w:br/>
        <w:tab/>
        <w:t xml:space="preserve"> </w:t>
        <w:tab/>
        <w:br/>
        <w:tab/>
        <w:t xml:space="preserve">С решение №36 от 27.05.2016г. по настоящето дело е отменено въззивното решение постановено по гр. д. № 361/2014г. на Кюстендилски окръжен съд и вместо него е постановено ново, с което е признато за установено по отношение на [фирма], представляван от Г. Я. Г., че БЪЛГАРСКА АКАДЕМИЯ НА НАУКИТЕ е собственик на следните недвижими имоти: 1/ поземлен имот с идентификатор 65365.32.198, стар пл.№ *, с площ 1227 кв. м., при граници: от две страни улица, ПИ 65365.32.132, ПИ 65365.32.185, заедно с изградената в него производствена сграда /бивша туристическа спалня/ със застроена площ 160 кв. м.; 2/ 1476/1772 ид. ч. от поземлен имот с идентификатор 65635.32.185, стар пл.№ *, целия с площ от 1761 кв. м. при граници: ПИ 65365.32.198, улица, ПИ 65365.32.132, ПИ 65365.32.128 и улица; 3/ 310/1263 ид. ч. от поземлен имот с идентификатор 65635.32.132, стар пл. № *, целия с площ 1259 кв. м., при граници: ПИ 65365.32.185; ПИ 65365.32.198, улица, ПИ 65365.32.128, ПИ 65365.32.127; 4/ бунгало № 1 с площ 36 кв. м., попадащо в имот с идентификатор 65635.32.185 и бунгало № 2 със застроена площ 39 кв. м., попадащо в имоти с идентификатори 65635.32.185 и 65635.32.132, всички по кадастралната карта на [населено място] баня, находящи се в местн.„Т. гробища” в [населено място] баня, като е осъден [фирма] на основание чл. 108 ЗС да предаде на БЪЛГАРСКА АКАДЕМИЯ НА НАУКИТЕ владението върху първите три гореописани недвижими имоти и да заплати разноски в размер на 3340 лв. </w:t>
        <w:tab/>
        <w:br/>
        <w:tab/>
        <w:t xml:space="preserve"> </w:t>
        <w:tab/>
        <w:br/>
        <w:tab/>
        <w:t xml:space="preserve">Съгласно уточнението на исковата молба и приложените скици на л. 128 и 129 от първоинстанционното дело вторият и третият от спорните имоти са с идентификатори 65365.32.185 и 65365.32.132. При изписването им в диспозитива на решението са разменени местата на цифрите 3 и 6 и те са посочени погрешно с идентификатори 65635.32.185 и 65635.32.132. Тази грешка е повторена и при описанието на имотите по т. 4 от диспозитива. Допусната е грешка и относно площите на имотите под № 2 и № 3 в диспозитива. Поземленият имот с идентификатор 65365.32.185 е с площ 1772 кв. м., а не 1761 кв. м. /скица на л. 129/, а поземленият имот с идентификатор 65365.32.132 е с площ 1263 кв. м., а не 1259кв. м. /скица на л. 128/. </w:t>
        <w:tab/>
        <w:br/>
        <w:tab/>
        <w:t xml:space="preserve"> </w:t>
        <w:tab/>
        <w:br/>
        <w:tab/>
        <w:t xml:space="preserve"> На последно място, съдът по свой почин служебно констатира наличие на технически пропуск и в диспозитива по присъждане на разноските, като преди изписване на сумата 3340 лв. е пропусната думата „да заплати”. </w:t>
        <w:tab/>
        <w:br/>
        <w:tab/>
        <w:t xml:space="preserve"> </w:t>
        <w:tab/>
        <w:br/>
        <w:tab/>
        <w:t xml:space="preserve">Всички тези грешки следва да бъдат отстранени с настоящето решение. </w:t>
        <w:tab/>
        <w:br/>
        <w:tab/>
        <w:t xml:space="preserve"> </w:t>
        <w:tab/>
        <w:br/>
        <w:tab/>
        <w:t xml:space="preserve">Не представлява очевидна фактическа грешка непосочването в диспозитива на ЕИК на Българската академия на науките и на името на нейния председател акад. С. В.. </w:t>
        <w:tab/>
        <w:br/>
        <w:tab/>
        <w:t xml:space="preserve"> </w:t>
        <w:tab/>
        <w:br/>
        <w:tab/>
        <w:t xml:space="preserve">Водим от горното и на основание чл. 247 ГПК Върховният касационен съд, състав на ІІ г. о.РЕШИ: </w:t>
        <w:tab/>
        <w:br/>
        <w:tab/>
        <w:t xml:space="preserve"> </w:t>
        <w:tab/>
        <w:br/>
        <w:tab/>
        <w:t xml:space="preserve">ДОПУСКА ПОПРАВКА НА ОЧЕВИДНИ ФАКТИЧЕСКИ ГРЕШКИ в диспозитива на решение №36 от 27.05.2016г. по гр. д. № 4751/2015г. на ІІ г. о. на Върховния касационен съд, на страница осма от решението както следва: </w:t>
        <w:tab/>
        <w:br/>
        <w:tab/>
        <w:t xml:space="preserve"> </w:t>
        <w:tab/>
        <w:br/>
        <w:tab/>
        <w:t xml:space="preserve">- На ред седми, в началото, вместо 65635.32.185 да се чете: 65365.32.185 и по-нататък на същия ред вместо числото 1761 да се чете 1772; </w:t>
        <w:tab/>
        <w:br/>
        <w:tab/>
        <w:t xml:space="preserve"> </w:t>
        <w:tab/>
        <w:br/>
        <w:tab/>
        <w:t xml:space="preserve">- На ред девети вместо 65635.32.132 да се чете 65365.32.132 и на ред десети, след думата „площ” вместо числото 1259 да се чете 1263 ; </w:t>
        <w:tab/>
        <w:br/>
        <w:tab/>
        <w:t xml:space="preserve"> </w:t>
        <w:tab/>
        <w:br/>
        <w:tab/>
        <w:t xml:space="preserve">- На ред дванадесети и на ред тринадесети вместо 65635.32.185 да се чете 65365.32.185; </w:t>
        <w:tab/>
        <w:br/>
        <w:tab/>
        <w:t xml:space="preserve"> </w:t>
        <w:tab/>
        <w:br/>
        <w:tab/>
        <w:t xml:space="preserve">- На ред четиринадесети вместо 65635.32.132 да се чете 65365.32.132.</w:t>
        <w:tab/>
        <w:br/>
        <w:tab/>
        <w:t xml:space="preserve"> </w:t>
        <w:tab/>
        <w:br/>
        <w:tab/>
        <w:t xml:space="preserve">- На ред деветнадесети, след думите: ”както и” да се чете: „да заплати”, след което текстът продължава.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